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EB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bookmarkStart w:id="0" w:name="sub_1000"/>
      <w:r w:rsidRPr="00394CBC">
        <w:rPr>
          <w:sz w:val="28"/>
          <w:szCs w:val="28"/>
          <w:lang w:eastAsia="ru-RU"/>
        </w:rPr>
        <w:t>Приложение</w:t>
      </w:r>
      <w:r w:rsidR="00D108EB">
        <w:rPr>
          <w:sz w:val="28"/>
          <w:szCs w:val="28"/>
          <w:lang w:eastAsia="ru-RU"/>
        </w:rPr>
        <w:t xml:space="preserve"> </w:t>
      </w:r>
      <w:r w:rsidR="00693F3B">
        <w:rPr>
          <w:sz w:val="28"/>
          <w:szCs w:val="28"/>
          <w:lang w:eastAsia="ru-RU"/>
        </w:rPr>
        <w:t>3</w:t>
      </w:r>
    </w:p>
    <w:p w:rsidR="00D108EB" w:rsidRDefault="00D108EB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>У</w:t>
      </w:r>
      <w:r w:rsidR="00773E50" w:rsidRPr="00394CBC">
        <w:rPr>
          <w:sz w:val="28"/>
          <w:szCs w:val="28"/>
          <w:lang w:eastAsia="ru-RU"/>
        </w:rPr>
        <w:t>ТВЕРЖДЕН</w:t>
      </w:r>
      <w:r w:rsidR="00D108EB">
        <w:rPr>
          <w:sz w:val="28"/>
          <w:szCs w:val="28"/>
          <w:lang w:eastAsia="ru-RU"/>
        </w:rPr>
        <w:t>А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 xml:space="preserve">постановлением администрации 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 xml:space="preserve">муниципального образования 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 xml:space="preserve">Красноармейский район 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bCs/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>от ________________ № ______</w:t>
      </w:r>
    </w:p>
    <w:bookmarkEnd w:id="0"/>
    <w:p w:rsidR="000C4C4A" w:rsidRPr="00394CBC" w:rsidRDefault="000C4C4A" w:rsidP="00D14BF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6F7BC4" w:rsidRDefault="006F7BC4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15023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>проверочн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D108EB">
        <w:rPr>
          <w:rFonts w:ascii="Times New Roman" w:hAnsi="Times New Roman" w:cs="Times New Roman"/>
          <w:b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108EB">
        <w:rPr>
          <w:rFonts w:ascii="Times New Roman" w:hAnsi="Times New Roman" w:cs="Times New Roman"/>
          <w:b/>
          <w:sz w:val="28"/>
          <w:szCs w:val="28"/>
        </w:rPr>
        <w:t>, используем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D108EB">
        <w:rPr>
          <w:rFonts w:ascii="Times New Roman" w:hAnsi="Times New Roman" w:cs="Times New Roman"/>
          <w:b/>
          <w:sz w:val="28"/>
          <w:szCs w:val="28"/>
        </w:rPr>
        <w:t xml:space="preserve"> администрацией </w:t>
      </w:r>
    </w:p>
    <w:p w:rsidR="00015023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Красноармейский район </w:t>
      </w:r>
    </w:p>
    <w:p w:rsidR="00781EEC" w:rsidRDefault="00015023" w:rsidP="004111E4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</w:t>
      </w:r>
      <w:r w:rsidR="004111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1EEC" w:rsidRDefault="004111E4" w:rsidP="00781EEC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1E4">
        <w:rPr>
          <w:rFonts w:ascii="Times New Roman" w:hAnsi="Times New Roman" w:cs="Times New Roman"/>
          <w:b/>
          <w:sz w:val="28"/>
          <w:szCs w:val="28"/>
        </w:rPr>
        <w:t xml:space="preserve">на автомобильном транспорте, городском наземном </w:t>
      </w:r>
    </w:p>
    <w:p w:rsidR="00781EEC" w:rsidRDefault="004111E4" w:rsidP="00781EEC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1E4">
        <w:rPr>
          <w:rFonts w:ascii="Times New Roman" w:hAnsi="Times New Roman" w:cs="Times New Roman"/>
          <w:b/>
          <w:sz w:val="28"/>
          <w:szCs w:val="28"/>
        </w:rPr>
        <w:t xml:space="preserve">электрическом транспорте и в дорожном хозяйстве </w:t>
      </w:r>
    </w:p>
    <w:p w:rsidR="00781EEC" w:rsidRDefault="004111E4" w:rsidP="00781EEC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1E4">
        <w:rPr>
          <w:rFonts w:ascii="Times New Roman" w:hAnsi="Times New Roman" w:cs="Times New Roman"/>
          <w:b/>
          <w:sz w:val="28"/>
          <w:szCs w:val="28"/>
        </w:rPr>
        <w:t xml:space="preserve">вне границ населенных пунктов в границах </w:t>
      </w:r>
    </w:p>
    <w:p w:rsidR="00015023" w:rsidRPr="00D108EB" w:rsidRDefault="004111E4" w:rsidP="00781EEC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1E4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015023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0D846" wp14:editId="3A75BCE9">
                <wp:simplePos x="0" y="0"/>
                <wp:positionH relativeFrom="margin">
                  <wp:posOffset>5005705</wp:posOffset>
                </wp:positionH>
                <wp:positionV relativeFrom="paragraph">
                  <wp:posOffset>98425</wp:posOffset>
                </wp:positionV>
                <wp:extent cx="1085850" cy="971550"/>
                <wp:effectExtent l="0" t="0" r="19050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08CA" w:rsidRPr="00015023" w:rsidRDefault="001908CA" w:rsidP="00015023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QR</w:t>
                            </w:r>
                            <w:r>
                              <w:t>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00D846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94.15pt;margin-top:7.75pt;width:85.5pt;height:76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" fillcolor="white [3201]" strokeweight=".5pt">
                <v:textbox>
                  <w:txbxContent>
                    <w:p w:rsidR="001908CA" w:rsidRPr="00015023" w:rsidRDefault="001908CA" w:rsidP="00015023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QR</w:t>
                      </w:r>
                      <w:r>
                        <w:t>-код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15023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Pr="00394CBC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D108EB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023" w:rsidRDefault="00015023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023" w:rsidRDefault="001908CA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ПРОВЕРОЧНЫЙ ЛИСТ</w:t>
      </w:r>
    </w:p>
    <w:p w:rsidR="00781EEC" w:rsidRDefault="00015023" w:rsidP="0001502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(</w:t>
      </w:r>
      <w:r w:rsidRPr="00015023">
        <w:rPr>
          <w:sz w:val="28"/>
          <w:szCs w:val="28"/>
          <w:u w:val="single"/>
        </w:rPr>
        <w:t xml:space="preserve">утвержден </w:t>
      </w:r>
      <w:r>
        <w:rPr>
          <w:sz w:val="28"/>
          <w:szCs w:val="28"/>
          <w:u w:val="single"/>
        </w:rPr>
        <w:t xml:space="preserve">постановлением администрации муниципального </w:t>
      </w:r>
    </w:p>
    <w:p w:rsidR="00781EEC" w:rsidRDefault="00015023" w:rsidP="00781EEC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образования Красноармейский район от_________________ года № _____ </w:t>
      </w:r>
    </w:p>
    <w:p w:rsidR="00781EEC" w:rsidRDefault="00015023" w:rsidP="0001502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3A6A42">
        <w:rPr>
          <w:sz w:val="28"/>
          <w:szCs w:val="28"/>
          <w:u w:val="single"/>
        </w:rPr>
        <w:t xml:space="preserve">Об утверждении форм проверочных листов, используемых </w:t>
      </w:r>
    </w:p>
    <w:p w:rsidR="00781EEC" w:rsidRDefault="00015023" w:rsidP="00781EEC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A6A42">
        <w:rPr>
          <w:sz w:val="28"/>
          <w:szCs w:val="28"/>
          <w:u w:val="single"/>
        </w:rPr>
        <w:t xml:space="preserve">администрацией муниципального образования Красноармейский район </w:t>
      </w:r>
    </w:p>
    <w:p w:rsidR="00015023" w:rsidRPr="003A6A42" w:rsidRDefault="00015023" w:rsidP="00781EEC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A6A42">
        <w:rPr>
          <w:sz w:val="28"/>
          <w:szCs w:val="28"/>
          <w:u w:val="single"/>
        </w:rPr>
        <w:t>при осуществлении муниципального контроля</w:t>
      </w:r>
      <w:r>
        <w:rPr>
          <w:sz w:val="28"/>
          <w:szCs w:val="28"/>
          <w:u w:val="single"/>
        </w:rPr>
        <w:t>»)</w:t>
      </w:r>
    </w:p>
    <w:p w:rsidR="00015023" w:rsidRPr="003A6A42" w:rsidRDefault="00015023" w:rsidP="0001502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реквизиты нормативного правового акта об утверждении формы проверочного листа</w:t>
      </w:r>
    </w:p>
    <w:p w:rsidR="00015023" w:rsidRPr="001C0D90" w:rsidRDefault="00015023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81EEC" w:rsidRDefault="004107C6" w:rsidP="004107C6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4107C6">
        <w:rPr>
          <w:sz w:val="28"/>
          <w:szCs w:val="28"/>
          <w:u w:val="single"/>
        </w:rPr>
        <w:t xml:space="preserve">Муниципальный контроль на автомобильном транспорте, городском </w:t>
      </w:r>
    </w:p>
    <w:p w:rsidR="00781EEC" w:rsidRDefault="004107C6" w:rsidP="004107C6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4107C6">
        <w:rPr>
          <w:sz w:val="28"/>
          <w:szCs w:val="28"/>
          <w:u w:val="single"/>
        </w:rPr>
        <w:t xml:space="preserve">наземном электрическом транспорте и в дорожном хозяйстве вне границ </w:t>
      </w:r>
    </w:p>
    <w:p w:rsidR="004107C6" w:rsidRPr="004107C6" w:rsidRDefault="004107C6" w:rsidP="004107C6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4107C6">
        <w:rPr>
          <w:sz w:val="28"/>
          <w:szCs w:val="28"/>
          <w:u w:val="single"/>
        </w:rPr>
        <w:t xml:space="preserve">населенных пунктов в границах муниципального района </w:t>
      </w:r>
    </w:p>
    <w:p w:rsidR="00D108EB" w:rsidRPr="00D108EB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наименование вида контроля, включенного в единый реестр </w:t>
      </w:r>
      <w:r w:rsidRPr="00D108EB">
        <w:rPr>
          <w:rFonts w:ascii="Times New Roman" w:hAnsi="Times New Roman" w:cs="Times New Roman"/>
          <w:sz w:val="20"/>
          <w:szCs w:val="20"/>
        </w:rPr>
        <w:t>видов федерального государственного контроля (надзора), регионального государственного контроля (надзора), муниципального контроля</w:t>
      </w:r>
    </w:p>
    <w:p w:rsidR="00D108EB" w:rsidRPr="001C0D90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108EB" w:rsidRDefault="003A6A42" w:rsidP="003A6A4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</w:t>
      </w:r>
      <w:r w:rsidR="00D108EB" w:rsidRPr="00621167">
        <w:rPr>
          <w:sz w:val="28"/>
          <w:szCs w:val="28"/>
          <w:u w:val="single"/>
        </w:rPr>
        <w:t>дминистраци</w:t>
      </w:r>
      <w:r>
        <w:rPr>
          <w:sz w:val="28"/>
          <w:szCs w:val="28"/>
          <w:u w:val="single"/>
        </w:rPr>
        <w:t xml:space="preserve">я </w:t>
      </w:r>
      <w:r w:rsidR="00D108EB" w:rsidRPr="0055421D">
        <w:rPr>
          <w:sz w:val="28"/>
          <w:szCs w:val="28"/>
          <w:u w:val="single"/>
        </w:rPr>
        <w:t>муниципального образования Красноармейский район</w:t>
      </w:r>
    </w:p>
    <w:p w:rsidR="003A6A42" w:rsidRPr="003A6A42" w:rsidRDefault="003A6A42" w:rsidP="003A6A4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контрольного органа</w:t>
      </w:r>
    </w:p>
    <w:p w:rsidR="00D108EB" w:rsidRPr="001C0D90" w:rsidRDefault="00D108EB" w:rsidP="003A6A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3A6A42" w:rsidRDefault="00323D3E" w:rsidP="00323D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«___» ____________ 20___ года</w:t>
      </w:r>
    </w:p>
    <w:p w:rsidR="00323D3E" w:rsidRDefault="00323D3E" w:rsidP="00323D3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дата заполнения проверочного листа</w:t>
      </w:r>
    </w:p>
    <w:p w:rsidR="00323D3E" w:rsidRPr="001C0D90" w:rsidRDefault="00323D3E" w:rsidP="00323D3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C0D90" w:rsidRDefault="001C0D90" w:rsidP="001C0D90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0D90">
        <w:rPr>
          <w:sz w:val="28"/>
          <w:szCs w:val="28"/>
        </w:rPr>
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</w:r>
      <w:r>
        <w:rPr>
          <w:sz w:val="28"/>
          <w:szCs w:val="28"/>
        </w:rPr>
        <w:t xml:space="preserve"> _____________________________________________________</w:t>
      </w:r>
    </w:p>
    <w:p w:rsidR="001C0D90" w:rsidRPr="001C0D90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C0D90" w:rsidRDefault="001C0D90" w:rsidP="001C0D90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Учетный номер контрольного мероприятия _____________________</w:t>
      </w:r>
    </w:p>
    <w:p w:rsidR="00323D3E" w:rsidRDefault="001C0D90" w:rsidP="001C0D90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0D90">
        <w:rPr>
          <w:sz w:val="28"/>
          <w:szCs w:val="28"/>
        </w:rPr>
        <w:t>Вид контрольного мероприятия</w:t>
      </w:r>
      <w:r>
        <w:rPr>
          <w:sz w:val="28"/>
          <w:szCs w:val="28"/>
        </w:rPr>
        <w:t xml:space="preserve"> ______________________</w:t>
      </w:r>
      <w:r w:rsidRPr="001C0D90">
        <w:rPr>
          <w:sz w:val="28"/>
          <w:szCs w:val="28"/>
        </w:rPr>
        <w:t>_________</w:t>
      </w:r>
    </w:p>
    <w:p w:rsidR="001C0D90" w:rsidRDefault="001C0D90" w:rsidP="001C0D90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(места) проведения контрольного мероприятия с заполнением проверочного листа ___________________________________________________</w:t>
      </w:r>
    </w:p>
    <w:p w:rsidR="001C0D90" w:rsidRPr="001C0D90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C0D90" w:rsidRDefault="001C0D90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Объект муниципального контроля, в отношении которого проводится контрольное мероприятие ______________________________________________</w:t>
      </w:r>
    </w:p>
    <w:p w:rsidR="001C0D90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C0D90" w:rsidRDefault="001C0D90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Сведения о контролируемом лице - фамилия, имя и отчество (при наличии) гражданина или ИП, его ИНН и (или) ОГРН ИП, адрес регистрации гражданина или ИП; наименование ЮЛ, его ИНН и (или) ОГРН, адрес ЮЛ (его филиалов, представительств, обособленных структурных подразделений):</w:t>
      </w:r>
    </w:p>
    <w:p w:rsidR="001C0D90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0D90" w:rsidRDefault="001C0D90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Должность, фамилия и инициалы должностного лица </w:t>
      </w:r>
      <w:r w:rsidR="00100A52">
        <w:rPr>
          <w:sz w:val="28"/>
          <w:szCs w:val="28"/>
        </w:rPr>
        <w:t>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</w:t>
      </w:r>
      <w:r w:rsidR="00D87A72">
        <w:rPr>
          <w:sz w:val="28"/>
          <w:szCs w:val="28"/>
        </w:rPr>
        <w:t>:</w:t>
      </w:r>
    </w:p>
    <w:p w:rsidR="00100A52" w:rsidRPr="00323D3E" w:rsidRDefault="00100A52" w:rsidP="00100A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8EB" w:rsidRDefault="00100A52" w:rsidP="00D108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108EB" w:rsidRPr="00482EDF">
        <w:rPr>
          <w:sz w:val="28"/>
          <w:szCs w:val="28"/>
        </w:rPr>
        <w:t xml:space="preserve">. </w:t>
      </w:r>
      <w:r>
        <w:rPr>
          <w:sz w:val="28"/>
          <w:szCs w:val="28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="00D108EB" w:rsidRPr="00482EDF">
        <w:rPr>
          <w:sz w:val="28"/>
          <w:szCs w:val="28"/>
        </w:rPr>
        <w:t>:</w:t>
      </w:r>
    </w:p>
    <w:p w:rsidR="00781EEC" w:rsidRDefault="00781EEC" w:rsidP="00D108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f0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693"/>
        <w:gridCol w:w="567"/>
        <w:gridCol w:w="567"/>
        <w:gridCol w:w="1560"/>
        <w:gridCol w:w="1275"/>
      </w:tblGrid>
      <w:tr w:rsidR="00781EEC" w:rsidRPr="00DD5953" w:rsidTr="009D3DC5">
        <w:trPr>
          <w:trHeight w:val="390"/>
        </w:trPr>
        <w:tc>
          <w:tcPr>
            <w:tcW w:w="709" w:type="dxa"/>
            <w:vMerge w:val="restart"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Вопрос</w:t>
            </w:r>
          </w:p>
        </w:tc>
        <w:tc>
          <w:tcPr>
            <w:tcW w:w="2693" w:type="dxa"/>
            <w:vMerge w:val="restart"/>
          </w:tcPr>
          <w:p w:rsidR="00781EEC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Реквизиты</w:t>
            </w:r>
          </w:p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нормативно-правового акта, содержащего обязательные требования</w:t>
            </w:r>
          </w:p>
        </w:tc>
        <w:tc>
          <w:tcPr>
            <w:tcW w:w="3969" w:type="dxa"/>
            <w:gridSpan w:val="4"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Вывод о соблюдении</w:t>
            </w:r>
          </w:p>
        </w:tc>
      </w:tr>
      <w:tr w:rsidR="00781EEC" w:rsidRPr="00DD5953" w:rsidTr="009D3DC5">
        <w:trPr>
          <w:trHeight w:val="240"/>
        </w:trPr>
        <w:tc>
          <w:tcPr>
            <w:tcW w:w="709" w:type="dxa"/>
            <w:vMerge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Неприменимо</w:t>
            </w:r>
          </w:p>
        </w:tc>
        <w:tc>
          <w:tcPr>
            <w:tcW w:w="1275" w:type="dxa"/>
          </w:tcPr>
          <w:p w:rsidR="00781EEC" w:rsidRPr="00DD5953" w:rsidRDefault="00781EEC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</w:tbl>
    <w:p w:rsidR="00D108EB" w:rsidRPr="00781EEC" w:rsidRDefault="00D108EB" w:rsidP="00781EEC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Style w:val="af0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693"/>
        <w:gridCol w:w="567"/>
        <w:gridCol w:w="567"/>
        <w:gridCol w:w="1560"/>
        <w:gridCol w:w="1275"/>
      </w:tblGrid>
      <w:tr w:rsidR="00632911" w:rsidRPr="00DD5953" w:rsidTr="009D3DC5">
        <w:trPr>
          <w:trHeight w:val="153"/>
          <w:tblHeader/>
        </w:trPr>
        <w:tc>
          <w:tcPr>
            <w:tcW w:w="709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632911" w:rsidRDefault="005508BB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508BB" w:rsidRPr="00DD5953" w:rsidTr="009D3DC5">
        <w:trPr>
          <w:trHeight w:val="144"/>
        </w:trPr>
        <w:tc>
          <w:tcPr>
            <w:tcW w:w="709" w:type="dxa"/>
          </w:tcPr>
          <w:p w:rsidR="005508BB" w:rsidRPr="001076A6" w:rsidRDefault="005508BB" w:rsidP="002D573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76A6">
              <w:rPr>
                <w:b/>
                <w:sz w:val="20"/>
                <w:szCs w:val="20"/>
              </w:rPr>
              <w:t>1</w:t>
            </w:r>
            <w:r w:rsidR="00781E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781EEC" w:rsidRDefault="005508BB" w:rsidP="00781E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Соблюдение обязательных требований в области автомобильных дорог и дорожной </w:t>
            </w:r>
          </w:p>
          <w:p w:rsidR="00781EEC" w:rsidRDefault="005508BB" w:rsidP="00781E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деятельности, установленных в отношении автомобильных дорог местного значения </w:t>
            </w:r>
          </w:p>
          <w:p w:rsidR="00781EEC" w:rsidRDefault="005508BB" w:rsidP="00781E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к эксплуатации объектов дорожного сервиса, размещенных в полосах отвода и (или) </w:t>
            </w:r>
          </w:p>
          <w:p w:rsidR="005508BB" w:rsidRPr="001076A6" w:rsidRDefault="005508BB" w:rsidP="00781E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>придорожных полосах автомобильных дорог общего пользования</w:t>
            </w:r>
          </w:p>
        </w:tc>
      </w:tr>
      <w:tr w:rsidR="00632911" w:rsidRPr="00DD5953" w:rsidTr="009D3DC5">
        <w:trPr>
          <w:trHeight w:val="134"/>
        </w:trPr>
        <w:tc>
          <w:tcPr>
            <w:tcW w:w="709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632911" w:rsidRPr="00E4752F" w:rsidRDefault="00632911" w:rsidP="00C001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E4752F">
              <w:rPr>
                <w:rFonts w:eastAsiaTheme="minorHAnsi"/>
                <w:sz w:val="20"/>
                <w:szCs w:val="20"/>
                <w:lang w:eastAsia="en-US"/>
              </w:rPr>
              <w:t>существл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ено ли</w:t>
            </w:r>
            <w:r w:rsidRPr="00E4752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E4752F">
              <w:rPr>
                <w:rFonts w:eastAsiaTheme="minorHAnsi"/>
                <w:sz w:val="20"/>
                <w:szCs w:val="20"/>
                <w:lang w:eastAsia="en-US"/>
              </w:rPr>
              <w:t>азмещение объектов дорожного сервиса в границах полосы отвода автомобильной дороги в соответствии с документацией по план</w:t>
            </w:r>
            <w:r w:rsidR="004F4858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E4752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ровк</w:t>
            </w:r>
            <w:r w:rsidR="005508BB">
              <w:rPr>
                <w:rFonts w:eastAsiaTheme="minorHAnsi"/>
                <w:sz w:val="20"/>
                <w:szCs w:val="20"/>
                <w:lang w:eastAsia="en-US"/>
              </w:rPr>
              <w:t xml:space="preserve">е </w:t>
            </w:r>
            <w:r w:rsidRPr="00E4752F">
              <w:rPr>
                <w:rFonts w:eastAsiaTheme="minorHAnsi"/>
                <w:sz w:val="20"/>
                <w:szCs w:val="20"/>
                <w:lang w:eastAsia="en-US"/>
              </w:rPr>
              <w:t>территории и требованиями технических регламентов?</w:t>
            </w:r>
          </w:p>
        </w:tc>
        <w:tc>
          <w:tcPr>
            <w:tcW w:w="2693" w:type="dxa"/>
          </w:tcPr>
          <w:p w:rsidR="00632911" w:rsidRPr="0074699A" w:rsidRDefault="001908CA" w:rsidP="002D57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632911">
              <w:rPr>
                <w:sz w:val="20"/>
                <w:szCs w:val="20"/>
              </w:rPr>
              <w:t xml:space="preserve">асть 1 статьи 22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от 8 ноября 2007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32911" w:rsidRPr="00DD5953" w:rsidRDefault="00632911" w:rsidP="002D573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32911" w:rsidRPr="00DD5953" w:rsidTr="009D3DC5">
        <w:trPr>
          <w:trHeight w:val="134"/>
        </w:trPr>
        <w:tc>
          <w:tcPr>
            <w:tcW w:w="709" w:type="dxa"/>
          </w:tcPr>
          <w:p w:rsidR="00632911" w:rsidRDefault="00632911" w:rsidP="003F5F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632911" w:rsidRPr="001A36DA" w:rsidRDefault="00632911" w:rsidP="00AC30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A36DA">
              <w:rPr>
                <w:rFonts w:eastAsiaTheme="minorHAnsi"/>
                <w:sz w:val="20"/>
                <w:szCs w:val="20"/>
                <w:lang w:eastAsia="en-US"/>
              </w:rPr>
              <w:t>Имеется ли согласие владельца автомобильной дороги на строительство, реконструкцию в границах придорожных полос автомобильной дороги объектов дорожного сервиса в письменной форме, содержащее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объектов?</w:t>
            </w:r>
          </w:p>
        </w:tc>
        <w:tc>
          <w:tcPr>
            <w:tcW w:w="2693" w:type="dxa"/>
          </w:tcPr>
          <w:p w:rsidR="00632911" w:rsidRPr="0074699A" w:rsidRDefault="001908CA" w:rsidP="00A771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632911">
              <w:rPr>
                <w:sz w:val="20"/>
                <w:szCs w:val="20"/>
              </w:rPr>
              <w:t xml:space="preserve">асти 1, 12 статьи 22, часть 8 статьи 26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закон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от 8 ноября 2007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 xml:space="preserve"> года </w:t>
            </w:r>
            <w:r w:rsidR="005508BB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632911" w:rsidRPr="00DD5953" w:rsidRDefault="00632911" w:rsidP="003F5F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32911" w:rsidRPr="00DD5953" w:rsidRDefault="00632911" w:rsidP="003F5F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32911" w:rsidRPr="00DD5953" w:rsidRDefault="00632911" w:rsidP="003F5F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32911" w:rsidRPr="00DD5953" w:rsidRDefault="00632911" w:rsidP="003F5F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32911" w:rsidRPr="00DD5953" w:rsidTr="009D3DC5">
        <w:trPr>
          <w:trHeight w:val="134"/>
        </w:trPr>
        <w:tc>
          <w:tcPr>
            <w:tcW w:w="709" w:type="dxa"/>
          </w:tcPr>
          <w:p w:rsidR="00632911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632911" w:rsidRPr="00A8256E" w:rsidRDefault="00632911" w:rsidP="008737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256E">
              <w:rPr>
                <w:rFonts w:eastAsiaTheme="minorHAnsi"/>
                <w:sz w:val="20"/>
                <w:szCs w:val="20"/>
                <w:lang w:eastAsia="en-US"/>
              </w:rPr>
              <w:t>Соблюдены ли требования к перечню минимально необходимых услуг, оказываемых на объектах дорожного сервиса, размещаемых в границах полос отвода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632911" w:rsidRPr="00A8256E" w:rsidRDefault="001908CA" w:rsidP="008737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ч</w:t>
            </w:r>
            <w:r w:rsidR="00632911" w:rsidRPr="00A8256E">
              <w:rPr>
                <w:rFonts w:eastAsiaTheme="minorHAnsi"/>
                <w:sz w:val="20"/>
                <w:szCs w:val="20"/>
                <w:lang w:eastAsia="en-US"/>
              </w:rPr>
              <w:t xml:space="preserve">асть 2 статьи 22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от 8 ноября 2007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9762BB">
              <w:rPr>
                <w:rFonts w:eastAsiaTheme="minorHAnsi"/>
                <w:sz w:val="20"/>
                <w:szCs w:val="20"/>
                <w:lang w:eastAsia="en-US"/>
              </w:rPr>
              <w:t xml:space="preserve">»;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="00632911" w:rsidRPr="00A8256E">
              <w:rPr>
                <w:rFonts w:eastAsiaTheme="minorHAnsi"/>
                <w:sz w:val="20"/>
                <w:szCs w:val="20"/>
                <w:lang w:eastAsia="en-US"/>
              </w:rPr>
              <w:t>ребования к перечню минимально необходимых услуг, оказываемых на объектах дорожного сервиса, размещаемых в границах полос отвода автомобильных дорог общего пользования федерального, регио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нального или межмуниципального, </w:t>
            </w:r>
            <w:r w:rsidR="00632911" w:rsidRPr="00A8256E">
              <w:rPr>
                <w:rFonts w:eastAsiaTheme="minorHAnsi"/>
                <w:sz w:val="20"/>
                <w:szCs w:val="20"/>
                <w:lang w:eastAsia="en-US"/>
              </w:rPr>
              <w:t xml:space="preserve">местного значения, утвержденные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632911" w:rsidRPr="00A8256E">
              <w:rPr>
                <w:rFonts w:eastAsiaTheme="minorHAnsi"/>
                <w:sz w:val="20"/>
                <w:szCs w:val="20"/>
                <w:lang w:eastAsia="en-US"/>
              </w:rPr>
              <w:t xml:space="preserve">остановлением Правительства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Российской Федерации</w:t>
            </w:r>
            <w:r w:rsidR="00632911" w:rsidRPr="00A8256E">
              <w:rPr>
                <w:rFonts w:eastAsiaTheme="minorHAnsi"/>
                <w:sz w:val="20"/>
                <w:szCs w:val="20"/>
                <w:lang w:eastAsia="en-US"/>
              </w:rPr>
              <w:t xml:space="preserve"> от 28 октября 2020 года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</w:t>
            </w:r>
          </w:p>
        </w:tc>
        <w:tc>
          <w:tcPr>
            <w:tcW w:w="567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32911" w:rsidRPr="00DD5953" w:rsidTr="009D3DC5">
        <w:trPr>
          <w:trHeight w:val="134"/>
        </w:trPr>
        <w:tc>
          <w:tcPr>
            <w:tcW w:w="709" w:type="dxa"/>
          </w:tcPr>
          <w:p w:rsidR="00632911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632911" w:rsidRPr="001157BD" w:rsidRDefault="00632911" w:rsidP="008737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Ухудшает ли о</w:t>
            </w:r>
            <w:r w:rsidRPr="001157BD">
              <w:rPr>
                <w:rFonts w:eastAsiaTheme="minorHAnsi"/>
                <w:sz w:val="20"/>
                <w:szCs w:val="20"/>
                <w:lang w:eastAsia="en-US"/>
              </w:rPr>
              <w:t>беспечение автомобильной дороги объектами дорожного сервиса видимость на автомобильной дороге, другие условия безопасности дорожного движения, а также условия использования и содержания автомобильной дороги и расположенных на ней сооружений и иных объектов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632911" w:rsidRPr="001157BD" w:rsidRDefault="001908CA" w:rsidP="003C65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ч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асть 3 статьи 22 Федеральн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от 8 ноября 2007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Об автомобильных дорогах и о дорожной деятельности в Российской Федерации и о внесении изменений в отдельные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законодательные акты Российской </w:t>
            </w:r>
            <w:r w:rsidR="00632911" w:rsidRPr="001157BD">
              <w:rPr>
                <w:rFonts w:eastAsiaTheme="minorHAnsi"/>
                <w:sz w:val="20"/>
                <w:szCs w:val="20"/>
                <w:lang w:eastAsia="en-US"/>
              </w:rPr>
              <w:t>Федерации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>»;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632911">
              <w:rPr>
                <w:rFonts w:eastAsiaTheme="minorHAnsi"/>
                <w:sz w:val="20"/>
                <w:szCs w:val="20"/>
                <w:lang w:eastAsia="en-US"/>
              </w:rPr>
              <w:t xml:space="preserve">пункты 5.1.6, 5.1.10, 5.1.11, 5.1.12 </w:t>
            </w:r>
            <w:r w:rsidR="00632911" w:rsidRPr="003C6593">
              <w:rPr>
                <w:rFonts w:eastAsiaTheme="minorHAnsi"/>
                <w:sz w:val="20"/>
                <w:szCs w:val="20"/>
                <w:lang w:eastAsia="en-US"/>
              </w:rPr>
              <w:t>Межгосударственного стандарта ГОСТ 33062-2014 «Дороги автомобильные общего пользования. Требования к размещению объектов дорожного и придорожного сервиса»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 xml:space="preserve"> (утвержденного и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в</w:t>
            </w:r>
            <w:r w:rsidR="0077180D">
              <w:rPr>
                <w:rFonts w:eastAsiaTheme="minorHAnsi"/>
                <w:sz w:val="20"/>
                <w:szCs w:val="20"/>
                <w:lang w:eastAsia="en-US"/>
              </w:rPr>
              <w:t>веден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ного в действие </w:t>
            </w:r>
            <w:r w:rsidR="0077180D">
              <w:rPr>
                <w:rFonts w:eastAsiaTheme="minorHAnsi"/>
                <w:sz w:val="20"/>
                <w:szCs w:val="20"/>
                <w:lang w:eastAsia="en-US"/>
              </w:rPr>
              <w:t xml:space="preserve">приказом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Федерального 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 xml:space="preserve">агентства по техническому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      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 xml:space="preserve">регулированию и метрологии от 14 августа 2015 года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>№ 1163-ст)</w:t>
            </w:r>
          </w:p>
        </w:tc>
        <w:tc>
          <w:tcPr>
            <w:tcW w:w="567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32911" w:rsidRPr="00DD5953" w:rsidRDefault="00632911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134"/>
        </w:trPr>
        <w:tc>
          <w:tcPr>
            <w:tcW w:w="709" w:type="dxa"/>
            <w:vMerge w:val="restart"/>
          </w:tcPr>
          <w:p w:rsidR="00781EEC" w:rsidRDefault="00781EEC" w:rsidP="008737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  <w:gridSpan w:val="6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борудованы ли о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бъекты дорожного сервиса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</w:tc>
      </w:tr>
      <w:tr w:rsidR="00781EEC" w:rsidRPr="00DD5953" w:rsidTr="009D3DC5">
        <w:trPr>
          <w:trHeight w:val="134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Pr="00AA7E6E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а) 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стоянками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Pr="001157BD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</w:t>
            </w:r>
            <w:r w:rsidR="00781EEC">
              <w:rPr>
                <w:sz w:val="20"/>
                <w:szCs w:val="20"/>
              </w:rPr>
              <w:t xml:space="preserve">асти 6, 10, 13 статьи 22 </w:t>
            </w:r>
            <w:r>
              <w:rPr>
                <w:sz w:val="20"/>
                <w:szCs w:val="20"/>
              </w:rPr>
              <w:t xml:space="preserve">  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8 ноября 2007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134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Pr="00AA7E6E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б) 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местами остановки транспортных средств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Pr="001157BD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</w:t>
            </w:r>
            <w:r w:rsidR="00781EEC">
              <w:rPr>
                <w:sz w:val="20"/>
                <w:szCs w:val="20"/>
              </w:rPr>
              <w:t xml:space="preserve">асти 6, 10, 13 статьи 22 </w:t>
            </w:r>
            <w:r>
              <w:rPr>
                <w:sz w:val="20"/>
                <w:szCs w:val="20"/>
              </w:rPr>
              <w:t xml:space="preserve">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8 ноября 2007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134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в) 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подъездами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Pr="001157BD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</w:t>
            </w:r>
            <w:r w:rsidR="00781EEC">
              <w:rPr>
                <w:sz w:val="20"/>
                <w:szCs w:val="20"/>
              </w:rPr>
              <w:t xml:space="preserve">асти 6, 10, 13 статьи 22 </w:t>
            </w:r>
            <w:r>
              <w:rPr>
                <w:sz w:val="20"/>
                <w:szCs w:val="20"/>
              </w:rPr>
              <w:t xml:space="preserve">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8 ноября 2007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134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г) 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съездами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Pr="001157BD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</w:t>
            </w:r>
            <w:r w:rsidR="00781EEC">
              <w:rPr>
                <w:sz w:val="20"/>
                <w:szCs w:val="20"/>
              </w:rPr>
              <w:t xml:space="preserve">асти 6, 10, 13 статьи 22 </w:t>
            </w:r>
            <w:r>
              <w:rPr>
                <w:sz w:val="20"/>
                <w:szCs w:val="20"/>
              </w:rPr>
              <w:t xml:space="preserve">   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8 ноября 2007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Об автомобильных дорогах и о дорожной деятельности в Российской Федерации и о внесении изменений в отдельные законодательные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акты Российской Федерации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134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д) 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примыканиями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Pr="001157BD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</w:t>
            </w:r>
            <w:r w:rsidR="00781EEC">
              <w:rPr>
                <w:sz w:val="20"/>
                <w:szCs w:val="20"/>
              </w:rPr>
              <w:t xml:space="preserve">асти 6, 10, 13 статьи 22 </w:t>
            </w:r>
            <w:r>
              <w:rPr>
                <w:sz w:val="20"/>
                <w:szCs w:val="20"/>
              </w:rPr>
              <w:t xml:space="preserve">   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 w:rsidR="0077180D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8 ноября 2007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781EEC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134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AA7E6E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Оборудованы ли 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подъезды и съезды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к объектам дорожного сервиса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 xml:space="preserve"> переходно-скоростными полосами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(п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ри примыкании автомобильной дороги к другой автомобильной дороге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)?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:rsidR="00470FBF" w:rsidRPr="00423D9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ч</w:t>
            </w:r>
            <w:r w:rsidR="00470FBF" w:rsidRPr="00423D9C">
              <w:rPr>
                <w:rFonts w:eastAsiaTheme="minorHAnsi"/>
                <w:sz w:val="20"/>
                <w:szCs w:val="20"/>
                <w:lang w:eastAsia="en-US"/>
              </w:rPr>
              <w:t xml:space="preserve">асти 6, 10, 13 статьи 22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 w:rsidR="0077180D"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8 ноября 2007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>»;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пункт 3.25 </w:t>
            </w:r>
            <w:r w:rsidR="00470FBF" w:rsidRPr="00423D9C">
              <w:rPr>
                <w:rFonts w:eastAsiaTheme="minorHAnsi"/>
                <w:sz w:val="20"/>
                <w:szCs w:val="20"/>
                <w:lang w:eastAsia="en-US"/>
              </w:rPr>
              <w:t>Межгосударственного стандарта ГОСТ 3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3475-2015 «Дороги автомобильные общего </w:t>
            </w:r>
            <w:r w:rsidR="00470FBF" w:rsidRPr="00423D9C">
              <w:rPr>
                <w:rFonts w:eastAsiaTheme="minorHAnsi"/>
                <w:sz w:val="20"/>
                <w:szCs w:val="20"/>
                <w:lang w:eastAsia="en-US"/>
              </w:rPr>
              <w:t>пользования. Геометрические элементы. Технические требования»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 xml:space="preserve"> (утвержден и введен в действие приказом Федерального агентства по техническому регулировани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ю и метрологии от 31 августа 2016 года </w:t>
            </w:r>
            <w:r w:rsidR="00A01428">
              <w:rPr>
                <w:rFonts w:eastAsiaTheme="minorHAnsi"/>
                <w:sz w:val="20"/>
                <w:szCs w:val="20"/>
                <w:lang w:eastAsia="en-US"/>
              </w:rPr>
              <w:t>№ 1008-ст)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134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AA7E6E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Обустроены ли 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подъезды и съезды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к объектам дорожного сервиса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 xml:space="preserve"> элементами обустройства автомобильной дороги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(п</w:t>
            </w:r>
            <w:r w:rsidRPr="00AA7E6E">
              <w:rPr>
                <w:rFonts w:eastAsiaTheme="minorHAnsi"/>
                <w:sz w:val="20"/>
                <w:szCs w:val="20"/>
                <w:lang w:eastAsia="en-US"/>
              </w:rPr>
              <w:t>ри примыкании автомобильной дороги к другой автомобильной дороге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)?</w:t>
            </w:r>
          </w:p>
        </w:tc>
        <w:tc>
          <w:tcPr>
            <w:tcW w:w="2693" w:type="dxa"/>
          </w:tcPr>
          <w:p w:rsidR="00470FBF" w:rsidRPr="0074699A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70FBF">
              <w:rPr>
                <w:sz w:val="20"/>
                <w:szCs w:val="20"/>
              </w:rPr>
              <w:t xml:space="preserve">асти 6, 10, 13 статьи 22 </w:t>
            </w:r>
            <w:r>
              <w:rPr>
                <w:sz w:val="20"/>
                <w:szCs w:val="20"/>
              </w:rPr>
              <w:t xml:space="preserve">               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 w:rsidR="0077180D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8 ноября 2007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94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1157BD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24698">
              <w:rPr>
                <w:rFonts w:eastAsiaTheme="minorHAnsi"/>
                <w:sz w:val="20"/>
                <w:szCs w:val="20"/>
                <w:lang w:eastAsia="en-US"/>
              </w:rPr>
              <w:t xml:space="preserve">Имеется ли согласие </w:t>
            </w:r>
            <w:r w:rsidRPr="00A7715E">
              <w:rPr>
                <w:rFonts w:eastAsiaTheme="minorHAnsi"/>
                <w:sz w:val="20"/>
                <w:szCs w:val="20"/>
                <w:lang w:eastAsia="en-US"/>
              </w:rPr>
              <w:t>в письменной форме</w:t>
            </w:r>
            <w:r w:rsidRPr="00124698">
              <w:rPr>
                <w:rFonts w:eastAsiaTheme="minorHAnsi"/>
                <w:sz w:val="20"/>
                <w:szCs w:val="20"/>
                <w:lang w:eastAsia="en-US"/>
              </w:rPr>
              <w:t xml:space="preserve"> владельца автомобильной дороги на</w:t>
            </w:r>
            <w:r w:rsidRPr="00A7715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A7715E">
              <w:rPr>
                <w:rFonts w:eastAsiaTheme="minorHAnsi"/>
                <w:sz w:val="20"/>
                <w:szCs w:val="20"/>
                <w:lang w:eastAsia="en-US"/>
              </w:rPr>
              <w:t>еконструкци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</w:t>
            </w:r>
            <w:r w:rsidRPr="00A7715E">
              <w:rPr>
                <w:rFonts w:eastAsiaTheme="minorHAnsi"/>
                <w:sz w:val="20"/>
                <w:szCs w:val="20"/>
                <w:lang w:eastAsia="en-US"/>
              </w:rPr>
              <w:t>, капитальный ремонт и ремонт примыканий объектов дорожного сервиса к автомобильным дорогам на выполнение указанных работ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содержащее</w:t>
            </w:r>
            <w:r w:rsidRPr="00A7715E">
              <w:rPr>
                <w:rFonts w:eastAsiaTheme="minorHAnsi"/>
                <w:sz w:val="20"/>
                <w:szCs w:val="20"/>
                <w:lang w:eastAsia="en-US"/>
              </w:rPr>
              <w:t xml:space="preserve"> технические требования и условия, подлежащие обязательному исполнению лицами, осуществляющими реконструкцию, капитальный ремонт и ремонт при</w:t>
            </w:r>
            <w:r w:rsidRPr="00A7715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мыканий объектов дорожного сервиса к автомобильным дорогам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74699A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70FBF">
              <w:rPr>
                <w:sz w:val="20"/>
                <w:szCs w:val="20"/>
              </w:rPr>
              <w:t xml:space="preserve">асти 10, 11, 12, 13 статьи 22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 w:rsidR="0077180D"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8 ноября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2007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14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1.9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A8256E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Соблюдены ли при эксплуатации объектов дорожного сервиса требования </w:t>
            </w:r>
            <w:r w:rsidRPr="004A7858">
              <w:rPr>
                <w:rFonts w:eastAsiaTheme="minorHAnsi"/>
                <w:sz w:val="20"/>
                <w:szCs w:val="20"/>
                <w:lang w:eastAsia="en-US"/>
              </w:rPr>
              <w:t>обеспечения беспрепятственного доступа инвалидов к объектам социальной, инженерной и транспортной инфраструктур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4A7858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70FBF" w:rsidRPr="004A7858">
              <w:rPr>
                <w:sz w:val="20"/>
                <w:szCs w:val="20"/>
              </w:rPr>
              <w:t>татья 15 Федерального закона от</w:t>
            </w:r>
            <w:r w:rsidR="00470FBF">
              <w:rPr>
                <w:sz w:val="20"/>
                <w:szCs w:val="20"/>
              </w:rPr>
              <w:t xml:space="preserve"> </w:t>
            </w:r>
            <w:r w:rsidR="00470FBF" w:rsidRPr="004A7858">
              <w:rPr>
                <w:sz w:val="20"/>
                <w:szCs w:val="20"/>
              </w:rPr>
              <w:t xml:space="preserve">24 ноября 1995 года </w:t>
            </w:r>
            <w:r w:rsidR="00DE1F62">
              <w:rPr>
                <w:sz w:val="20"/>
                <w:szCs w:val="20"/>
              </w:rPr>
              <w:t xml:space="preserve">   </w:t>
            </w:r>
            <w:r w:rsidR="00470FBF" w:rsidRPr="004A7858">
              <w:rPr>
                <w:sz w:val="20"/>
                <w:szCs w:val="20"/>
              </w:rPr>
              <w:t>№ 181-ФЗ «О социальной защите инвалидов в Российской Федерации»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14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3443AF">
              <w:rPr>
                <w:rFonts w:eastAsiaTheme="minorHAnsi"/>
                <w:sz w:val="20"/>
                <w:szCs w:val="20"/>
                <w:lang w:eastAsia="en-US"/>
              </w:rPr>
              <w:t>аключ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ен ли</w:t>
            </w:r>
            <w:r w:rsidRPr="003443A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установленном порядке </w:t>
            </w:r>
            <w:r w:rsidRPr="003443AF">
              <w:rPr>
                <w:rFonts w:eastAsiaTheme="minorHAnsi"/>
                <w:sz w:val="20"/>
                <w:szCs w:val="20"/>
                <w:lang w:eastAsia="en-US"/>
              </w:rPr>
              <w:t>с владельц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ем</w:t>
            </w:r>
            <w:r w:rsidRPr="003443AF">
              <w:rPr>
                <w:rFonts w:eastAsiaTheme="minorHAnsi"/>
                <w:sz w:val="20"/>
                <w:szCs w:val="20"/>
                <w:lang w:eastAsia="en-US"/>
              </w:rPr>
              <w:t xml:space="preserve"> автомобильн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ой</w:t>
            </w:r>
            <w:r w:rsidRPr="003443AF">
              <w:rPr>
                <w:rFonts w:eastAsiaTheme="minorHAnsi"/>
                <w:sz w:val="20"/>
                <w:szCs w:val="20"/>
                <w:lang w:eastAsia="en-US"/>
              </w:rPr>
              <w:t xml:space="preserve"> дорог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3443A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исполняется ли в части внесения </w:t>
            </w:r>
            <w:r w:rsidRPr="00743E72">
              <w:rPr>
                <w:rFonts w:eastAsiaTheme="minorHAnsi"/>
                <w:sz w:val="20"/>
                <w:szCs w:val="20"/>
                <w:lang w:eastAsia="en-US"/>
              </w:rPr>
              <w:t>платы за присоединение объектов дорожного сервиса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к автомобильным дорогам общего </w:t>
            </w:r>
            <w:r w:rsidRPr="00743E72">
              <w:rPr>
                <w:rFonts w:eastAsiaTheme="minorHAnsi"/>
                <w:sz w:val="20"/>
                <w:szCs w:val="20"/>
                <w:lang w:eastAsia="en-US"/>
              </w:rPr>
              <w:t xml:space="preserve">пользования местного значения </w:t>
            </w:r>
            <w:r w:rsidRPr="003443AF">
              <w:rPr>
                <w:rFonts w:eastAsiaTheme="minorHAnsi"/>
                <w:sz w:val="20"/>
                <w:szCs w:val="20"/>
                <w:lang w:eastAsia="en-US"/>
              </w:rPr>
              <w:t>договор о присоединении объекта дорожного сервиса к автомобильной дороге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4A7858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70FBF">
              <w:rPr>
                <w:sz w:val="20"/>
                <w:szCs w:val="20"/>
              </w:rPr>
              <w:t xml:space="preserve">асти 7, 9, 13 статьи 22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Федеральн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закон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 от </w:t>
            </w:r>
            <w:r w:rsidR="0077180D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8 ноября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2007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 xml:space="preserve">257-ФЗ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1157BD">
              <w:rPr>
                <w:rFonts w:eastAsiaTheme="minorHAnsi"/>
                <w:sz w:val="20"/>
                <w:szCs w:val="20"/>
                <w:lang w:eastAsia="en-US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186"/>
        </w:trPr>
        <w:tc>
          <w:tcPr>
            <w:tcW w:w="709" w:type="dxa"/>
          </w:tcPr>
          <w:p w:rsidR="00470FBF" w:rsidRPr="001076A6" w:rsidRDefault="00470FBF" w:rsidP="00470F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76A6">
              <w:rPr>
                <w:b/>
                <w:sz w:val="20"/>
                <w:szCs w:val="20"/>
              </w:rPr>
              <w:t>2</w:t>
            </w:r>
            <w:r w:rsidR="00781E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77180D" w:rsidRDefault="00470FBF" w:rsidP="007718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>Соблюдение обязательных требований в области автомобильных дорог и дорожной</w:t>
            </w:r>
            <w:r w:rsidR="0077180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                       </w:t>
            </w: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деятельности, установленных в отношении автомобильных дорог местного значения </w:t>
            </w:r>
            <w:r w:rsidR="0077180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                       </w:t>
            </w: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>к осуществлению работ по капитальному ремонту, ремонту и</w:t>
            </w:r>
            <w:r w:rsidR="00781EEC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содержанию автомобильных </w:t>
            </w:r>
          </w:p>
          <w:p w:rsidR="00470FBF" w:rsidRPr="001076A6" w:rsidRDefault="00781EEC" w:rsidP="007718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дорог </w:t>
            </w:r>
            <w:r w:rsidR="00470FBF"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>общего пользования</w:t>
            </w:r>
            <w:r w:rsidR="0077180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470FBF"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и искусственных дорожных сооружений на них (включая </w:t>
            </w:r>
            <w:r w:rsidR="0077180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                 </w:t>
            </w:r>
            <w:r w:rsidR="00470FBF"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требования к дорожно-строительным материалам и изделиям) в части обеспечения </w:t>
            </w:r>
            <w:r w:rsidR="0077180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                        </w:t>
            </w:r>
            <w:r w:rsidR="00470FBF"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>сохранности автомобильных дорог</w:t>
            </w:r>
          </w:p>
        </w:tc>
      </w:tr>
      <w:tr w:rsidR="00470FBF" w:rsidRPr="00DD5953" w:rsidTr="009D3DC5">
        <w:trPr>
          <w:trHeight w:val="218"/>
        </w:trPr>
        <w:tc>
          <w:tcPr>
            <w:tcW w:w="709" w:type="dxa"/>
          </w:tcPr>
          <w:p w:rsidR="00470FBF" w:rsidRDefault="0077180D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184F68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E2062">
              <w:rPr>
                <w:rFonts w:eastAsiaTheme="minorHAnsi"/>
                <w:sz w:val="20"/>
                <w:szCs w:val="20"/>
                <w:lang w:eastAsia="en-US"/>
              </w:rPr>
              <w:t xml:space="preserve">Освобождена ли </w:t>
            </w:r>
            <w:r w:rsidRPr="00BE7F35">
              <w:rPr>
                <w:rFonts w:eastAsiaTheme="minorHAnsi"/>
                <w:sz w:val="20"/>
                <w:szCs w:val="20"/>
                <w:lang w:eastAsia="en-US"/>
              </w:rPr>
              <w:t xml:space="preserve">по завершении строительных работ автомобильная дорога в пределах полосы постоянного отвода земель от дорожно-строительной техники, временных сооружений, остатков строительных материалов и изделий, временных </w:t>
            </w:r>
            <w:r w:rsidRPr="00BE2062">
              <w:rPr>
                <w:rFonts w:eastAsiaTheme="minorHAnsi"/>
                <w:sz w:val="20"/>
                <w:szCs w:val="20"/>
                <w:lang w:eastAsia="en-US"/>
              </w:rPr>
              <w:t>дорожных знаков</w:t>
            </w:r>
            <w:r w:rsidRPr="00BE7F35">
              <w:rPr>
                <w:rFonts w:eastAsiaTheme="minorHAnsi"/>
                <w:sz w:val="20"/>
                <w:szCs w:val="20"/>
                <w:lang w:eastAsia="en-US"/>
              </w:rPr>
              <w:t xml:space="preserve"> и указателей, а также иных предметов и инвентаря</w:t>
            </w:r>
            <w:r w:rsidRPr="00BE2062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«в» пункта 12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218"/>
        </w:trPr>
        <w:tc>
          <w:tcPr>
            <w:tcW w:w="709" w:type="dxa"/>
          </w:tcPr>
          <w:p w:rsidR="00470FBF" w:rsidRDefault="0077180D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81EE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470FBF" w:rsidRPr="00184F68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E2062">
              <w:rPr>
                <w:rFonts w:eastAsiaTheme="minorHAnsi"/>
                <w:sz w:val="20"/>
                <w:szCs w:val="20"/>
                <w:lang w:eastAsia="en-US"/>
              </w:rPr>
              <w:t xml:space="preserve">Приведены ли </w:t>
            </w:r>
            <w:r w:rsidRPr="00BE7F35">
              <w:rPr>
                <w:rFonts w:eastAsiaTheme="minorHAnsi"/>
                <w:sz w:val="20"/>
                <w:szCs w:val="20"/>
                <w:lang w:eastAsia="en-US"/>
              </w:rPr>
              <w:t>по завершении строительных работ</w:t>
            </w:r>
            <w:r w:rsidRPr="00BE206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E7F35">
              <w:rPr>
                <w:rFonts w:eastAsiaTheme="minorHAnsi"/>
                <w:sz w:val="20"/>
                <w:szCs w:val="20"/>
                <w:lang w:eastAsia="en-US"/>
              </w:rPr>
              <w:t xml:space="preserve">земли, отведенные во временное пользование на период </w:t>
            </w:r>
            <w:r w:rsidRPr="00BE2062">
              <w:rPr>
                <w:rFonts w:eastAsiaTheme="minorHAnsi"/>
                <w:sz w:val="20"/>
                <w:szCs w:val="20"/>
                <w:lang w:eastAsia="en-US"/>
              </w:rPr>
              <w:t>капитального ремонта</w:t>
            </w:r>
            <w:r w:rsidRPr="00BE7F35">
              <w:rPr>
                <w:rFonts w:eastAsiaTheme="minorHAnsi"/>
                <w:sz w:val="20"/>
                <w:szCs w:val="20"/>
                <w:lang w:eastAsia="en-US"/>
              </w:rPr>
              <w:t xml:space="preserve"> объекта, в состояние, пригодное для их использования по первоначальному назначению в соответствии с земельным законодательством</w:t>
            </w:r>
            <w:r w:rsidRPr="00BE2062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«в» пункта 12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218"/>
        </w:trPr>
        <w:tc>
          <w:tcPr>
            <w:tcW w:w="709" w:type="dxa"/>
          </w:tcPr>
          <w:p w:rsidR="00470FBF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6C5FE8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C5FE8">
              <w:rPr>
                <w:rFonts w:eastAsiaTheme="minorHAnsi"/>
                <w:sz w:val="20"/>
                <w:szCs w:val="20"/>
                <w:lang w:eastAsia="en-US"/>
              </w:rPr>
              <w:t>Имеются ли на покрытии проезжей части проломы, просадки, выбоины и иные повреждения или дефекты, а также посторонние предметы, затрудняющие движение транспортных средств с разрешенной скоростью и представляющие опасность для потребителей транспортных услуг или третьих лиц?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«а» пункта 13.2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Технического регламента Таможенного союз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218"/>
        </w:trPr>
        <w:tc>
          <w:tcPr>
            <w:tcW w:w="709" w:type="dxa"/>
          </w:tcPr>
          <w:p w:rsidR="00470FBF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177CC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177CC">
              <w:rPr>
                <w:rFonts w:eastAsiaTheme="minorHAnsi"/>
                <w:sz w:val="20"/>
                <w:szCs w:val="20"/>
                <w:lang w:eastAsia="en-US"/>
              </w:rPr>
              <w:t>Находится ли водоотвод с проезжей части в состоянии, исключающем застой воды на покрытии и обочинах?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«а» пункта 13.2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218"/>
        </w:trPr>
        <w:tc>
          <w:tcPr>
            <w:tcW w:w="709" w:type="dxa"/>
          </w:tcPr>
          <w:p w:rsidR="00470FBF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294309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94309">
              <w:rPr>
                <w:rFonts w:eastAsiaTheme="minorHAnsi"/>
                <w:sz w:val="20"/>
                <w:szCs w:val="20"/>
                <w:lang w:eastAsia="en-US"/>
              </w:rPr>
              <w:t>Имеется ли возвышение обочины и разделительной полосы над уровнем проезжей части при отсутствии бордюра?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«г» пункта 13.2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218"/>
        </w:trPr>
        <w:tc>
          <w:tcPr>
            <w:tcW w:w="709" w:type="dxa"/>
          </w:tcPr>
          <w:p w:rsidR="00470FBF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AB2CCA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Находятся ли о</w:t>
            </w:r>
            <w:r w:rsidRPr="00AB2CCA">
              <w:rPr>
                <w:rFonts w:eastAsiaTheme="minorHAnsi"/>
                <w:sz w:val="20"/>
                <w:szCs w:val="20"/>
                <w:lang w:eastAsia="en-US"/>
              </w:rPr>
              <w:t xml:space="preserve">бочины и разделительные полосы, не отделенные от проезжей части бордюром, ниже уровня прилегающей кромки проезжей части более чем на 4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(четыре) </w:t>
            </w:r>
            <w:r w:rsidRPr="00AB2CCA">
              <w:rPr>
                <w:rFonts w:eastAsiaTheme="minorHAnsi"/>
                <w:sz w:val="20"/>
                <w:szCs w:val="20"/>
                <w:lang w:eastAsia="en-US"/>
              </w:rPr>
              <w:t>см?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«г» пункта 13.2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122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74699A" w:rsidRDefault="00470FBF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ли обочины деформации и повреждения (</w:t>
            </w:r>
            <w:r w:rsidRPr="006C5FE8">
              <w:rPr>
                <w:rFonts w:eastAsiaTheme="minorHAnsi"/>
                <w:sz w:val="20"/>
                <w:szCs w:val="20"/>
                <w:lang w:eastAsia="en-US"/>
              </w:rPr>
              <w:t>проломы, просадки, выбоины и иные повреждения или дефекты, а также посторонние предметы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«д» пункта 13.2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ТС 014/2011 «Безопасность автомобильных дорог», утвержденного решением Комиссии Таможенного союза от 18 октября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95041B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5041B">
              <w:rPr>
                <w:rFonts w:eastAsiaTheme="minorHAnsi"/>
                <w:sz w:val="20"/>
                <w:szCs w:val="20"/>
                <w:lang w:eastAsia="en-US"/>
              </w:rPr>
              <w:t>Установлены ли до устранения дефектов обочин, соответствующие временные дорожные знаки или другие технические средства организации дорожного движения?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«д» пункта 13.2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8506CC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506CC">
              <w:rPr>
                <w:rFonts w:eastAsiaTheme="minorHAnsi"/>
                <w:sz w:val="20"/>
                <w:szCs w:val="20"/>
                <w:lang w:eastAsia="en-US"/>
              </w:rPr>
              <w:t>Различима ли дорожная разметка в любых условиях эксплуатации за исключением случаев, когда поверхность автомобильной дороги загрязнена или покрыта снежно-ледяными отложениями?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«б» пункта 13.5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431839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31839">
              <w:rPr>
                <w:rFonts w:eastAsiaTheme="minorHAnsi"/>
                <w:sz w:val="20"/>
                <w:szCs w:val="20"/>
                <w:lang w:eastAsia="en-US"/>
              </w:rPr>
              <w:t xml:space="preserve">Установлены ли соответствующие дорожные знаки в случае если разметка, определяющая режимы движения, трудно различима или не может быть своевременно восстановлена? 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«б» пункта 13.5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813E99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13E99">
              <w:rPr>
                <w:rFonts w:eastAsiaTheme="minorHAnsi"/>
                <w:sz w:val="20"/>
                <w:szCs w:val="20"/>
                <w:lang w:eastAsia="en-US"/>
              </w:rPr>
              <w:t>Имеют ли дорожные сигнальные столбики и дорожные тумбы повреждений, влияющих на их визуальное восприятие и безопасность дорожного движения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«г» пункта 13.5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  <w:r w:rsidR="009762BB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подраздел 6.6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Национальн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стандарт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РФ ГОСТ Р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50597-2017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Дороги автомобильные и улицы. Требования к эксплу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атационному состоянию, допустимому по условиям обеспечения безопасности дорожного движения.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Методы контроля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», утвержденного и введенного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в действие </w:t>
            </w:r>
            <w:hyperlink r:id="rId7" w:history="1">
              <w:r w:rsidR="00470FBF" w:rsidRPr="004879BE">
                <w:rPr>
                  <w:rFonts w:eastAsiaTheme="minorHAnsi"/>
                  <w:sz w:val="20"/>
                  <w:szCs w:val="20"/>
                  <w:lang w:eastAsia="en-US"/>
                </w:rPr>
                <w:t>приказом</w:t>
              </w:r>
            </w:hyperlink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Федерального агентства по техническому регулированию и метрологии от 26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сентября 2017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1245-ст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2.12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B63F8D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3F8D">
              <w:rPr>
                <w:rFonts w:eastAsiaTheme="minorHAnsi"/>
                <w:sz w:val="20"/>
                <w:szCs w:val="20"/>
                <w:lang w:eastAsia="en-US"/>
              </w:rPr>
              <w:t>Установлены ли (устроены ли) своевременно технические средства организации дорожного движения, применение которых вызвано причинами временного характера (дорожно-строительные работы, организация ограничения или прекращения движения транспорта в установленном порядке в период возникновения неблагоприятных природно-климатических условий, в случае снижения несущей способности конструктивных элементов автомобильной дороги, ее участков и в иных случаях в целях обеспечения безопасности дорожного движения) и используются ли они лишь в периоды действия ограничивающих факторов?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«е» пункта 13.5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B63F8D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3117D">
              <w:rPr>
                <w:rFonts w:eastAsiaTheme="minorHAnsi"/>
                <w:sz w:val="20"/>
                <w:szCs w:val="20"/>
                <w:lang w:eastAsia="en-US"/>
              </w:rPr>
              <w:t xml:space="preserve">Установлено ли на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r w:rsidRPr="00C3117D">
              <w:rPr>
                <w:rFonts w:eastAsiaTheme="minorHAnsi"/>
                <w:sz w:val="20"/>
                <w:szCs w:val="20"/>
                <w:lang w:eastAsia="en-US"/>
              </w:rPr>
              <w:t xml:space="preserve">одной опоре должно быть установлено не более двух знаков и одного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знака дополнительной информации </w:t>
            </w:r>
            <w:r w:rsidRPr="00C3117D">
              <w:rPr>
                <w:rFonts w:eastAsiaTheme="minorHAnsi"/>
                <w:sz w:val="20"/>
                <w:szCs w:val="20"/>
                <w:lang w:eastAsia="en-US"/>
              </w:rPr>
              <w:t>(таблички)?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одпункт «е» пункта 13.5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союза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ТС 014/2011 «Безопасность автомобильных дорог», утвержденного решением Комиссии Таможенного союза от 18 октября 2011 года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DA40D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40D3">
              <w:rPr>
                <w:rFonts w:eastAsiaTheme="minorHAnsi"/>
                <w:sz w:val="20"/>
                <w:szCs w:val="20"/>
                <w:lang w:eastAsia="en-US"/>
              </w:rPr>
              <w:t>Восстановлены ли поврежденные ограждения на автомобильных дорогах после их обнаружения дорожно-эксплуатационной службой и документального оформления, в установленные сроки?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 13.6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Таможенного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союза ТР ТС 014/2011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proofErr w:type="gramEnd"/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дорог», утвержденного решением Комиссии Таможенного союза от</w:t>
            </w:r>
            <w:r w:rsidR="00320BF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18 октября 2011 года № 827</w:t>
            </w:r>
            <w:r w:rsidR="00320BF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«О приня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, подраздел 6.5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Национальн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стандарт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РФ ГОСТ Р 50597-2017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», утвержденного и введенного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в действие </w:t>
            </w:r>
            <w:hyperlink r:id="rId8" w:history="1">
              <w:r w:rsidR="00470FBF" w:rsidRPr="004879BE">
                <w:rPr>
                  <w:rFonts w:eastAsiaTheme="minorHAnsi"/>
                  <w:sz w:val="20"/>
                  <w:szCs w:val="20"/>
                  <w:lang w:eastAsia="en-US"/>
                </w:rPr>
                <w:t>приказом</w:t>
              </w:r>
            </w:hyperlink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Федерального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агентства по техничес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кому регулированию и метрологии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от 26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сентября 2017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1245-ст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2.15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F21957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21957">
              <w:rPr>
                <w:rFonts w:eastAsiaTheme="minorHAnsi"/>
                <w:sz w:val="20"/>
                <w:szCs w:val="20"/>
                <w:lang w:eastAsia="en-US"/>
              </w:rPr>
              <w:t>Осуществляется ли замена вышедшего из строя источника света искусственного освещения после его обнаружения дорожно-эксплуатационной службой и документального оформления в установленные сроки?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 13.7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регламента Таможенного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союза ТР ТС 014/2011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proofErr w:type="gramEnd"/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дорог», утвержденного решением Комиссии Таможенного союза от</w:t>
            </w:r>
            <w:r w:rsidR="00320BF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18 октября 2011 года № 827</w:t>
            </w:r>
            <w:r w:rsidR="00320BF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, подраздел 6.9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Национальн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стандарт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РФ ГОСТ Р 50597-2017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Дороги автомобильные и улицы. Требования к эксплуатационному состоянию, допустимому по условиям обеспечения безопасности дорожного движения.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Методы контроля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», утвержденного и введенного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в действие </w:t>
            </w:r>
            <w:hyperlink r:id="rId9" w:history="1">
              <w:r w:rsidR="00470FBF" w:rsidRPr="004879BE">
                <w:rPr>
                  <w:rFonts w:eastAsiaTheme="minorHAnsi"/>
                  <w:sz w:val="20"/>
                  <w:szCs w:val="20"/>
                  <w:lang w:eastAsia="en-US"/>
                </w:rPr>
                <w:t>приказом</w:t>
              </w:r>
            </w:hyperlink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Федерального агентства по техническому регулированию и метрологии от 26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сентября 2017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№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1245-ст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320BFB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2829E8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829E8">
              <w:rPr>
                <w:rFonts w:eastAsiaTheme="minorHAnsi"/>
                <w:sz w:val="20"/>
                <w:szCs w:val="20"/>
                <w:lang w:eastAsia="en-US"/>
              </w:rPr>
              <w:t>Допускается ли в полосе отвода автомобильной дороги размещение рекламной или иной информации, не имеющей непосредственного отношения к организации движения?</w:t>
            </w:r>
          </w:p>
        </w:tc>
        <w:tc>
          <w:tcPr>
            <w:tcW w:w="2693" w:type="dxa"/>
          </w:tcPr>
          <w:p w:rsidR="00470FBF" w:rsidRPr="00532835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 13.8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регламента Таможенного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союза ТР ТС 014/2011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«Безопасность автомобильных дорог», утвержденного решением Комиссии Таможенного союза от</w:t>
            </w:r>
            <w:r w:rsidR="00320BF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18 октября 2011 года № 827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9861C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8F5BB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F5BB3">
              <w:rPr>
                <w:rFonts w:eastAsiaTheme="minorHAnsi"/>
                <w:sz w:val="20"/>
                <w:szCs w:val="20"/>
                <w:lang w:eastAsia="en-US"/>
              </w:rPr>
              <w:t>Соблюдаются ли запреты, установленные в отношении средств наружной рекламы?</w:t>
            </w:r>
          </w:p>
        </w:tc>
        <w:tc>
          <w:tcPr>
            <w:tcW w:w="2693" w:type="dxa"/>
          </w:tcPr>
          <w:p w:rsidR="00470FBF" w:rsidRPr="00532835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 13.8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регламента Таможенного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союза ТР ТС 014/2011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«Безопасность автомобильных дорог», утвержденного решением Комиссии Таможенного союза от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18 октября 2011 года № 827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9861C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2.18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8F5BB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629BF">
              <w:rPr>
                <w:rFonts w:eastAsiaTheme="minorHAnsi"/>
                <w:sz w:val="20"/>
                <w:szCs w:val="20"/>
                <w:lang w:eastAsia="en-US"/>
              </w:rPr>
              <w:t xml:space="preserve">Осуществляется ли </w:t>
            </w:r>
            <w:r w:rsidRPr="00AD3DB7">
              <w:rPr>
                <w:rFonts w:eastAsiaTheme="minorHAnsi"/>
                <w:sz w:val="20"/>
                <w:szCs w:val="20"/>
                <w:lang w:eastAsia="en-US"/>
              </w:rPr>
              <w:t>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</w:t>
            </w:r>
            <w:r w:rsidRPr="008629BF">
              <w:rPr>
                <w:rFonts w:eastAsiaTheme="minorHAnsi"/>
                <w:sz w:val="20"/>
                <w:szCs w:val="20"/>
                <w:lang w:eastAsia="en-US"/>
              </w:rPr>
              <w:t xml:space="preserve"> в установленном порядке?</w:t>
            </w:r>
          </w:p>
        </w:tc>
        <w:tc>
          <w:tcPr>
            <w:tcW w:w="2693" w:type="dxa"/>
          </w:tcPr>
          <w:p w:rsidR="00470FBF" w:rsidRPr="00F2722C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 13.9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регламента Таможенного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союза ТР ТС 014/2011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proofErr w:type="gramEnd"/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дорог», утвержденного решени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ем Комиссии Таможенного союза от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18 октября 2011 года № 827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, раздел 8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Национальн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 стандарт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РФ ГОСТ Р 50597-2017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», утвержденного и введенного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 xml:space="preserve">в действие </w:t>
            </w:r>
            <w:hyperlink r:id="rId10" w:history="1">
              <w:r w:rsidR="00470FBF" w:rsidRPr="004879BE">
                <w:rPr>
                  <w:rFonts w:eastAsiaTheme="minorHAnsi"/>
                  <w:sz w:val="20"/>
                  <w:szCs w:val="20"/>
                  <w:lang w:eastAsia="en-US"/>
                </w:rPr>
                <w:t>приказом</w:t>
              </w:r>
            </w:hyperlink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Федерального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агентства по техническому регулированию и метрологии от 26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сентября 2017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года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r w:rsidR="00470FBF" w:rsidRPr="004879BE">
              <w:rPr>
                <w:rFonts w:eastAsiaTheme="minorHAnsi"/>
                <w:sz w:val="20"/>
                <w:szCs w:val="20"/>
                <w:lang w:eastAsia="en-US"/>
              </w:rPr>
              <w:t>1245-ст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9861C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8F5BB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92893">
              <w:rPr>
                <w:rFonts w:eastAsiaTheme="minorHAnsi"/>
                <w:sz w:val="20"/>
                <w:szCs w:val="20"/>
                <w:lang w:eastAsia="en-US"/>
              </w:rPr>
              <w:t xml:space="preserve">Осуществляется ли капитальный ремонт и эксплуатация автомобильных дорог и дорожных сооружений на них с применением дорожно-строительных материалов и изделий, соответствующих требованиям 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регламента Таможенного союза ТР ТС 014/2011 </w:t>
            </w:r>
            <w:r w:rsidRPr="00C92893">
              <w:rPr>
                <w:rFonts w:eastAsiaTheme="minorHAnsi"/>
                <w:sz w:val="20"/>
                <w:szCs w:val="20"/>
                <w:lang w:eastAsia="en-US"/>
              </w:rPr>
              <w:t>и проектной документации?</w:t>
            </w:r>
          </w:p>
        </w:tc>
        <w:tc>
          <w:tcPr>
            <w:tcW w:w="2693" w:type="dxa"/>
          </w:tcPr>
          <w:p w:rsidR="00470FBF" w:rsidRPr="00532835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 14.5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регламента Таможенного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союза ТР ТС 014/2011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«Безопасность автомобильных дорог», утвержденного решением Комиссии Таможенного союза от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18 октября 2011 года № 827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9861C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C92893" w:rsidRDefault="002C2AF5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Прошли ли входной контроль </w:t>
            </w:r>
            <w:r w:rsidR="00470FBF" w:rsidRPr="00AA66AF">
              <w:rPr>
                <w:rFonts w:eastAsiaTheme="minorHAnsi"/>
                <w:sz w:val="20"/>
                <w:szCs w:val="20"/>
                <w:lang w:eastAsia="en-US"/>
              </w:rPr>
              <w:t xml:space="preserve">дорожно-строительные материалы и изделия, поступившие для строительства, реконструкции, капитального ремонта и эксплуатации автомобильных дорог, в установленном законодательством государств - членов Таможенного </w:t>
            </w:r>
            <w:r w:rsidR="00470FBF" w:rsidRPr="00AA66A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союза порядке, путем проведения их испытаний на соответствие требованиям проектной документации 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регламента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Таможенного союза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ТР ТС 014/2011</w:t>
            </w:r>
            <w:r w:rsidR="00470FBF" w:rsidRPr="00AA66AF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532835" w:rsidRDefault="001908CA" w:rsidP="009861C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 24.1 </w:t>
            </w:r>
            <w:r w:rsidR="009861C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регламента Таможенного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 w:rsidR="009861C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союза ТР ТС 014/2011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</w:t>
            </w:r>
            <w:r w:rsidR="009861CF" w:rsidRPr="00BB4402">
              <w:rPr>
                <w:rFonts w:eastAsiaTheme="minorHAnsi"/>
                <w:sz w:val="20"/>
                <w:szCs w:val="20"/>
                <w:lang w:eastAsia="en-US"/>
              </w:rPr>
              <w:t>«Безопасность автомобильных дорог», утвержденного решением Комиссии Таможенного союза от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861CF" w:rsidRPr="00BB4402">
              <w:rPr>
                <w:rFonts w:eastAsiaTheme="minorHAnsi"/>
                <w:sz w:val="20"/>
                <w:szCs w:val="20"/>
                <w:lang w:eastAsia="en-US"/>
              </w:rPr>
              <w:t>18 октября 2011 года № 827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861C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«О принятии технического регламента Таможенного союза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9861C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9861C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8F5BB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434E1">
              <w:rPr>
                <w:rFonts w:eastAsiaTheme="minorHAnsi"/>
                <w:sz w:val="20"/>
                <w:szCs w:val="20"/>
                <w:lang w:eastAsia="en-US"/>
              </w:rPr>
              <w:t xml:space="preserve">Подтверждено ли соответствие дорожно-строительных материалов, включенных в Перечень, приведенный в приложении 1 к 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>Техническо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му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регламент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      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Таможенного союза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              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>ТР ТС 014/2011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434E1">
              <w:rPr>
                <w:rFonts w:eastAsiaTheme="minorHAnsi"/>
                <w:sz w:val="20"/>
                <w:szCs w:val="20"/>
                <w:lang w:eastAsia="en-US"/>
              </w:rPr>
              <w:t xml:space="preserve"> в форме декларирования соответствия?</w:t>
            </w:r>
          </w:p>
        </w:tc>
        <w:tc>
          <w:tcPr>
            <w:tcW w:w="2693" w:type="dxa"/>
          </w:tcPr>
          <w:p w:rsidR="00470FBF" w:rsidRPr="00532835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ункты 24.2, 24.4, 24.5, 24.6, 24.7, 24.8, 24.9, 24.10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Технического регламента Таможенного с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оюза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ТР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ТС 014/2011 «Безопасность автомобильных дорог», утвержденного решением Комиссии Таможенного союза от 18 октября 2011 года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9861C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8F5BB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05F3">
              <w:rPr>
                <w:rFonts w:eastAsiaTheme="minorHAnsi"/>
                <w:sz w:val="20"/>
                <w:szCs w:val="20"/>
                <w:lang w:eastAsia="en-US"/>
              </w:rPr>
              <w:t xml:space="preserve">Подтверждено ли изделия, включенные в Перечень, приведенный в приложении 2 к 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>Техническо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му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регламент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 Таможенного союза ТР ТС 014/2011</w:t>
            </w:r>
            <w:r w:rsidRPr="003805F3">
              <w:rPr>
                <w:rFonts w:eastAsiaTheme="minorHAnsi"/>
                <w:sz w:val="20"/>
                <w:szCs w:val="20"/>
                <w:lang w:eastAsia="en-US"/>
              </w:rPr>
              <w:t>, в форме сертификации?</w:t>
            </w:r>
          </w:p>
        </w:tc>
        <w:tc>
          <w:tcPr>
            <w:tcW w:w="2693" w:type="dxa"/>
          </w:tcPr>
          <w:p w:rsidR="00470FBF" w:rsidRPr="00532835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ункты 24.3, 24.5, 24.6, 24.11, 24.12, 24.13, 24.14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Технического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>регламента Таможенного союза ТР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 xml:space="preserve">ТС 014/2011 «Безопасность автомобильных дорог», утвержденного решением Комиссии Таможенного союза от 18 октября 2011 года № 827 «О принятии технического регламента Таможенного союза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470FBF" w:rsidRPr="00BB4402">
              <w:rPr>
                <w:rFonts w:eastAsiaTheme="minorHAnsi"/>
                <w:sz w:val="20"/>
                <w:szCs w:val="20"/>
                <w:lang w:eastAsia="en-US"/>
              </w:rPr>
              <w:t>Безопасность автомобильных дорог»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2"/>
        </w:trPr>
        <w:tc>
          <w:tcPr>
            <w:tcW w:w="709" w:type="dxa"/>
          </w:tcPr>
          <w:p w:rsidR="00470FBF" w:rsidRPr="001076A6" w:rsidRDefault="00470FBF" w:rsidP="00470F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076A6">
              <w:rPr>
                <w:b/>
                <w:sz w:val="20"/>
                <w:szCs w:val="20"/>
              </w:rPr>
              <w:t>3</w:t>
            </w:r>
            <w:r w:rsidR="00781E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781EEC" w:rsidRDefault="00470FBF" w:rsidP="00781E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Соблюдение обязательных требований, установленных в отношении перевозок </w:t>
            </w:r>
          </w:p>
          <w:p w:rsidR="009861CF" w:rsidRDefault="00470FBF" w:rsidP="00781E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>по муниципальным маршрутам регулярных перевозок, не относящихся к предмет</w:t>
            </w:r>
            <w:r w:rsidR="00781EEC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у </w:t>
            </w:r>
          </w:p>
          <w:p w:rsidR="009861CF" w:rsidRDefault="00781EEC" w:rsidP="009861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федерального государственного </w:t>
            </w:r>
            <w:r w:rsidR="00470FBF"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контроля (надзора) на автомобильном транспорте, городском наземном электрическом транспорте и в дорожном хозяйстве в области организации </w:t>
            </w:r>
          </w:p>
          <w:p w:rsidR="00470FBF" w:rsidRPr="001076A6" w:rsidRDefault="00470FBF" w:rsidP="009861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076A6">
              <w:rPr>
                <w:rFonts w:eastAsiaTheme="minorHAnsi"/>
                <w:b/>
                <w:sz w:val="20"/>
                <w:szCs w:val="20"/>
                <w:lang w:eastAsia="en-US"/>
              </w:rPr>
              <w:t>регулярных перевозок</w:t>
            </w:r>
          </w:p>
        </w:tc>
      </w:tr>
      <w:tr w:rsidR="00470FBF" w:rsidRPr="00DD5953" w:rsidTr="009D3DC5">
        <w:trPr>
          <w:trHeight w:val="118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F7741D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7741D">
              <w:rPr>
                <w:rFonts w:eastAsiaTheme="minorHAnsi"/>
                <w:sz w:val="20"/>
                <w:szCs w:val="20"/>
                <w:lang w:eastAsia="en-US"/>
              </w:rPr>
              <w:t xml:space="preserve">Приступили ли юридическое лицо, индивидуальный предприниматель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или </w:t>
            </w:r>
            <w:r w:rsidRPr="00F7741D">
              <w:rPr>
                <w:rFonts w:eastAsiaTheme="minorHAnsi"/>
                <w:sz w:val="20"/>
                <w:szCs w:val="20"/>
                <w:lang w:eastAsia="en-US"/>
              </w:rPr>
              <w:t>уполномоченный участник договора простого товарищества, которым свидетельство об осуществлении перевозок по маршруту регулярных перевозок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(далее – перевозчик)</w:t>
            </w:r>
            <w:r w:rsidRPr="00F7741D">
              <w:rPr>
                <w:rFonts w:eastAsiaTheme="minorHAnsi"/>
                <w:sz w:val="20"/>
                <w:szCs w:val="20"/>
                <w:lang w:eastAsia="en-US"/>
              </w:rPr>
              <w:t xml:space="preserve"> выдано по результатам открытого конкурса, к осуществлению перевозок по данному маршруту не позднее чем через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90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(девяносто)</w:t>
            </w:r>
            <w:r w:rsidRPr="00F7741D">
              <w:rPr>
                <w:rFonts w:eastAsiaTheme="minorHAnsi"/>
                <w:sz w:val="20"/>
                <w:szCs w:val="20"/>
                <w:lang w:eastAsia="en-US"/>
              </w:rPr>
              <w:t xml:space="preserve"> дней со д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ня утверждения результатов </w:t>
            </w:r>
            <w:r w:rsidRPr="00F7741D">
              <w:rPr>
                <w:rFonts w:eastAsiaTheme="minorHAnsi"/>
                <w:sz w:val="20"/>
                <w:szCs w:val="20"/>
                <w:lang w:eastAsia="en-US"/>
              </w:rPr>
              <w:t>открытого конкурса и не ранее окончания срока дей</w:t>
            </w:r>
            <w:r w:rsidRPr="00F774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ствия последнего из ранее выданных свидетельств об осуществлени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 перевозок по данному маршруту?</w:t>
            </w:r>
          </w:p>
        </w:tc>
        <w:tc>
          <w:tcPr>
            <w:tcW w:w="2693" w:type="dxa"/>
          </w:tcPr>
          <w:p w:rsidR="00470FBF" w:rsidRPr="00F7741D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ч</w:t>
            </w:r>
            <w:r w:rsidR="00470FBF" w:rsidRPr="00F7741D">
              <w:rPr>
                <w:rFonts w:eastAsiaTheme="minorHAnsi"/>
                <w:sz w:val="20"/>
                <w:szCs w:val="20"/>
                <w:lang w:eastAsia="en-US"/>
              </w:rPr>
              <w:t>асть 4 статьи 21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781EEC" w:rsidRPr="00DD5953" w:rsidRDefault="00470FBF" w:rsidP="00781E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7B3D78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B3D78">
              <w:rPr>
                <w:rFonts w:eastAsiaTheme="minorHAnsi"/>
                <w:sz w:val="20"/>
                <w:szCs w:val="20"/>
                <w:lang w:eastAsia="en-US"/>
              </w:rPr>
              <w:t>Соблюдается ли установленны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7B3D78">
              <w:rPr>
                <w:rFonts w:eastAsiaTheme="minorHAnsi"/>
                <w:sz w:val="20"/>
                <w:szCs w:val="20"/>
                <w:lang w:eastAsia="en-US"/>
              </w:rPr>
              <w:t xml:space="preserve"> реестром маршрутов регул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ярных перевозок путь следования </w:t>
            </w:r>
            <w:r w:rsidRPr="007B3D78">
              <w:rPr>
                <w:rFonts w:eastAsiaTheme="minorHAnsi"/>
                <w:sz w:val="20"/>
                <w:szCs w:val="20"/>
                <w:lang w:eastAsia="en-US"/>
              </w:rPr>
              <w:t>транспортного средства по маршруту и осуществление посадки и высадки пассажиров в остановочных пунктах, предусмотренных данным реестром (кроме случаев, когда посадка или высадка пассажиров в иных местах вызвана необходимостью обеспечения безопасности перевозок и дорожного движения)?</w:t>
            </w:r>
          </w:p>
        </w:tc>
        <w:tc>
          <w:tcPr>
            <w:tcW w:w="2693" w:type="dxa"/>
          </w:tcPr>
          <w:p w:rsidR="00470FBF" w:rsidRPr="007B3D78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470FBF" w:rsidRPr="007B3D78">
              <w:rPr>
                <w:rFonts w:eastAsiaTheme="minorHAnsi"/>
                <w:sz w:val="20"/>
                <w:szCs w:val="20"/>
                <w:lang w:eastAsia="en-US"/>
              </w:rPr>
              <w:t>бзац четвертый пункта 10 Правил обеспечения безопасности перевозок автомобильным транспортом и городским наземным электрическим тра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нспортом, утвержденных приказом </w:t>
            </w:r>
            <w:r w:rsidR="00470FBF" w:rsidRPr="007B3D78">
              <w:rPr>
                <w:rFonts w:eastAsiaTheme="minorHAnsi"/>
                <w:sz w:val="20"/>
                <w:szCs w:val="20"/>
                <w:lang w:eastAsia="en-US"/>
              </w:rPr>
              <w:t>Министерства транспорта Российской Федерации от 30 апреля 2021 года № 145 «Об утверждении Правил обеспечения безопасности перевозок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470FBF" w:rsidRPr="007B3D78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70FBF" w:rsidRPr="007B3D78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6119B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Соблюдается ли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>перевозчиком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119B3">
              <w:rPr>
                <w:rFonts w:eastAsiaTheme="minorHAnsi"/>
                <w:sz w:val="20"/>
                <w:szCs w:val="20"/>
                <w:lang w:eastAsia="en-US"/>
              </w:rPr>
              <w:t>установленный маршрутом регулярных перевозок путь следования транспортного средства и расписание движения на данном маршруте, указанное в приложении к свидетельству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</w:t>
            </w:r>
            <w:r w:rsidRPr="006119B3">
              <w:rPr>
                <w:rFonts w:eastAsiaTheme="minorHAnsi"/>
                <w:sz w:val="20"/>
                <w:szCs w:val="20"/>
                <w:lang w:eastAsia="en-US"/>
              </w:rPr>
              <w:t>за исключением случаев возникновения заторов либо чрезвычайных ситуаций по маршруту движения, подтвержденных сведениями региональной системы мониторинга транспортных средств, объектов и ресурсов Краснодарского края либо муниципальной системы мониторинга транспортных средств, объектов и ресурсов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)?</w:t>
            </w:r>
          </w:p>
        </w:tc>
        <w:tc>
          <w:tcPr>
            <w:tcW w:w="2693" w:type="dxa"/>
          </w:tcPr>
          <w:p w:rsidR="00470FBF" w:rsidRPr="006119B3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ункт 2 части 1 статьи 19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21 декабря 2018 года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B6037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60374">
              <w:rPr>
                <w:rFonts w:eastAsiaTheme="minorHAnsi"/>
                <w:sz w:val="20"/>
                <w:szCs w:val="20"/>
                <w:lang w:eastAsia="en-US"/>
              </w:rPr>
              <w:t>Осуществляется ли перевозчиком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передача в региональную систему мониторинга транспортных средств, объектов и ресурсов Краснодарского края либо в муниципальную систему мониторинга транспортных средств, объектов и ресурсов (при ее наличии) информации о местоположении транспортных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средств, используемых для регулярных перевозок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6119B3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ункт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части 1 статьи 19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21 декабря 2018 года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470FBF" w:rsidRPr="004966AE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Представляется ли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перевозчиком </w:t>
            </w:r>
            <w:r w:rsidRPr="003E12FB">
              <w:rPr>
                <w:rFonts w:eastAsiaTheme="minorHAnsi"/>
                <w:sz w:val="20"/>
                <w:szCs w:val="20"/>
                <w:lang w:eastAsia="en-US"/>
              </w:rPr>
              <w:t>в администрацию муниципального образования Красноармейский район, являющуюся уполномоченным органом по организации регулярных перевозок по муниципальным маршрутам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на территории Красноармейского района, информация:</w:t>
            </w: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74699A" w:rsidRDefault="00781EEC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 приостановлении или прекращении действия (аннулировании) лицензии на осуществление перевозок пассажиров автомобильным транспортом, оборудованным для перевозки более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 человек, о расторжении договора простого товарищества, а также о начале процедуры ликвидации либо банкротства перевозчика в течение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 рабочих дней с момента возникновения указанных обстоятельств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6119B3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одпункт «а» п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>ункт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17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части 1 статьи 19 Закона Краснодарского края от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21 декабря 2018 года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№ 3931-КЗ «Об организации регулярных перевозок пассажиров и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багажа автомобильным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>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3.5.2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3E12FB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бо всех дорожно-транспортных происшествиях с пострадавшими вне зависимости от тяжести полученных травм, чрезвычайных ситуациях с участием транспортных средств перевозчика - не позднее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(двух) 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часов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>с момента происшестви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я, об иных                     дорожно-транспортных 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>происшествиях - в течение 24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 (двадцати четырех) 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>часов с момента дорожно-транспортных происшествий. Если дорожно-транспортное происшествие, чрезвычайная ситуация имели место в выходные (нерабочие праздничные) дни, перевозчик информирует уполномоченный орган об участии транспортных средств перевозчика в дорожно-транспортных происшествиях до 9 часов 30 минут первого рабочего дня, следующего за выходным (нерабочим праздничным) днем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6119B3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>одпункт «б» п</w:t>
            </w:r>
            <w:r w:rsidR="009861CF" w:rsidRPr="006119B3">
              <w:rPr>
                <w:rFonts w:eastAsiaTheme="minorHAnsi"/>
                <w:sz w:val="20"/>
                <w:szCs w:val="20"/>
                <w:lang w:eastAsia="en-US"/>
              </w:rPr>
              <w:t>ункт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9861C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>17</w:t>
            </w:r>
            <w:r w:rsidR="009861C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</w:t>
            </w:r>
            <w:r w:rsidR="009861C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части 1 статьи 19 Закона Краснодарского края от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</w:t>
            </w:r>
            <w:r w:rsidR="009861C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21 декабря 2018 года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</w:t>
            </w:r>
            <w:r w:rsidR="009861C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№ 3931-КЗ «Об организации регулярных перевозок пассажиров и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багажа автомобильным </w:t>
            </w:r>
            <w:r w:rsidR="009861CF" w:rsidRPr="006119B3">
              <w:rPr>
                <w:rFonts w:eastAsiaTheme="minorHAnsi"/>
                <w:sz w:val="20"/>
                <w:szCs w:val="20"/>
                <w:lang w:eastAsia="en-US"/>
              </w:rPr>
              <w:t>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3E12FB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облюдается ли </w:t>
            </w:r>
            <w:r w:rsidR="00470FBF"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перевозчиком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условие об информировании </w:t>
            </w:r>
            <w:r w:rsidR="00470FBF" w:rsidRPr="007B5EF6">
              <w:rPr>
                <w:rFonts w:eastAsiaTheme="minorHAnsi"/>
                <w:sz w:val="20"/>
                <w:szCs w:val="20"/>
                <w:lang w:eastAsia="en-US"/>
              </w:rPr>
              <w:t xml:space="preserve">не </w:t>
            </w:r>
            <w:r w:rsidR="00470FBF" w:rsidRPr="007B5EF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позднее 10 </w:t>
            </w:r>
            <w:r w:rsidR="002C2AF5">
              <w:rPr>
                <w:rFonts w:eastAsiaTheme="minorHAnsi"/>
                <w:sz w:val="20"/>
                <w:szCs w:val="20"/>
                <w:lang w:eastAsia="en-US"/>
              </w:rPr>
              <w:t xml:space="preserve">(десяти) </w:t>
            </w:r>
            <w:r w:rsidR="00470FBF" w:rsidRPr="007B5EF6">
              <w:rPr>
                <w:rFonts w:eastAsiaTheme="minorHAnsi"/>
                <w:sz w:val="20"/>
                <w:szCs w:val="20"/>
                <w:lang w:eastAsia="en-US"/>
              </w:rPr>
              <w:t xml:space="preserve">календарных дней со дня принятия решения об установлении (изменении) тарифа на регулярные перевозки 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>администраци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муниципального образования Красноармейский район, являющуюся уполномоченным органом по организации регулярных перевозок по муниципальным маршрутам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на территории Красноармейского района,</w:t>
            </w:r>
            <w:r w:rsidR="00470FBF" w:rsidRPr="007B5EF6">
              <w:rPr>
                <w:rFonts w:eastAsiaTheme="minorHAnsi"/>
                <w:sz w:val="20"/>
                <w:szCs w:val="20"/>
                <w:lang w:eastAsia="en-US"/>
              </w:rPr>
              <w:t xml:space="preserve"> об изменении тарифов на регулярные перевозки?</w:t>
            </w:r>
          </w:p>
        </w:tc>
        <w:tc>
          <w:tcPr>
            <w:tcW w:w="2693" w:type="dxa"/>
          </w:tcPr>
          <w:p w:rsidR="00470FBF" w:rsidRPr="006119B3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ункт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18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части 1 статьи 19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21 декабря 2018 года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№ 3931-КЗ «Об организации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3.7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3E12FB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сполняется ли </w:t>
            </w:r>
            <w:r w:rsidR="00470FBF"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перевозчиком </w:t>
            </w:r>
            <w:r w:rsidR="00470FBF" w:rsidRPr="00BC7945">
              <w:rPr>
                <w:rFonts w:eastAsiaTheme="minorHAnsi"/>
                <w:sz w:val="20"/>
                <w:szCs w:val="20"/>
                <w:lang w:eastAsia="en-US"/>
              </w:rPr>
              <w:t xml:space="preserve">обязанность направлять в 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>администрацию муниципального образования Красноармейский район, являющуюся уполномоченным органом по организации регулярных перевозок по муниципальным маршрутам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на территории Красноармейского района</w:t>
            </w:r>
            <w:r w:rsidR="00470FBF" w:rsidRPr="003E12F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470FBF" w:rsidRPr="00BC7945">
              <w:rPr>
                <w:rFonts w:eastAsiaTheme="minorHAnsi"/>
                <w:sz w:val="20"/>
                <w:szCs w:val="20"/>
                <w:lang w:eastAsia="en-US"/>
              </w:rPr>
              <w:t>выдавшую свидетельство об осуществлении перевозок по маршруту регулярных перевозок, ежеквартальные отчеты об осуществлении регулярных перевозок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74699A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70FBF">
              <w:rPr>
                <w:sz w:val="20"/>
                <w:szCs w:val="20"/>
              </w:rPr>
              <w:t xml:space="preserve">асть 1 статьи 37 </w:t>
            </w:r>
            <w:r w:rsidR="00470FBF" w:rsidRPr="00F7741D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Федерального закона от 13 июля 2015 года № 220-ФЗ «Об организации регулярных перевозок пассажиров и багажа автомобильным транспортом 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</w:t>
            </w:r>
            <w:r w:rsidR="00470FBF" w:rsidRPr="00F7741D">
              <w:rPr>
                <w:rFonts w:eastAsiaTheme="minorHAnsi"/>
                <w:sz w:val="20"/>
                <w:szCs w:val="20"/>
                <w:lang w:eastAsia="en-US"/>
              </w:rPr>
              <w:t>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70"/>
        </w:trPr>
        <w:tc>
          <w:tcPr>
            <w:tcW w:w="709" w:type="dxa"/>
            <w:vMerge w:val="restart"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  <w:gridSpan w:val="6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8515F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Обеспечена ли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перевозчиком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исправная работа:</w:t>
            </w:r>
          </w:p>
        </w:tc>
      </w:tr>
      <w:tr w:rsidR="00781EEC" w:rsidRPr="00DD5953" w:rsidTr="009D3DC5">
        <w:trPr>
          <w:trHeight w:val="70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Pr="003E12FB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а) с</w:t>
            </w:r>
            <w:r w:rsidRPr="0018515F">
              <w:rPr>
                <w:rFonts w:eastAsiaTheme="minorHAnsi"/>
                <w:sz w:val="20"/>
                <w:szCs w:val="20"/>
                <w:lang w:eastAsia="en-US"/>
              </w:rPr>
              <w:t>истемы контроля температуры воздуха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ункт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части 1 статьи 19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21 декабря 2018 года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70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Pr="003E12FB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б) э</w:t>
            </w:r>
            <w:r w:rsidRPr="0018515F">
              <w:rPr>
                <w:rFonts w:eastAsiaTheme="minorHAnsi"/>
                <w:sz w:val="20"/>
                <w:szCs w:val="20"/>
                <w:lang w:eastAsia="en-US"/>
              </w:rPr>
              <w:t>лектронного информационного табло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ункт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части 1 статьи 19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21 декабря 2018 года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81EEC" w:rsidRPr="00DD5953" w:rsidTr="009D3DC5">
        <w:trPr>
          <w:trHeight w:val="70"/>
        </w:trPr>
        <w:tc>
          <w:tcPr>
            <w:tcW w:w="709" w:type="dxa"/>
            <w:vMerge/>
          </w:tcPr>
          <w:p w:rsidR="00781EEC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1EEC" w:rsidRDefault="00781EEC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в) о</w:t>
            </w:r>
            <w:r w:rsidRPr="0018515F">
              <w:rPr>
                <w:rFonts w:eastAsiaTheme="minorHAnsi"/>
                <w:sz w:val="20"/>
                <w:szCs w:val="20"/>
                <w:lang w:eastAsia="en-US"/>
              </w:rPr>
              <w:t>борудования для безналичной оплаты проезда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81EEC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ункт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части 1 статьи 19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21 декабря 2018 года </w:t>
            </w:r>
            <w:r w:rsidR="00781EEC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№ 3931-КЗ «Об организации регулярных перевозок пассажиров и багажа автомобильным т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ранспортом и городским наземным </w:t>
            </w:r>
            <w:r w:rsidR="00781EEC" w:rsidRPr="006119B3">
              <w:rPr>
                <w:rFonts w:eastAsiaTheme="minorHAnsi"/>
                <w:sz w:val="20"/>
                <w:szCs w:val="20"/>
                <w:lang w:eastAsia="en-US"/>
              </w:rPr>
              <w:t>электрическим транспортом в Краснодарском крае»</w:t>
            </w: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1EEC" w:rsidRPr="00DD5953" w:rsidRDefault="00781EEC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3.9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82E99">
              <w:rPr>
                <w:rFonts w:eastAsiaTheme="minorHAnsi"/>
                <w:sz w:val="20"/>
                <w:szCs w:val="20"/>
                <w:lang w:eastAsia="en-US"/>
              </w:rPr>
              <w:t xml:space="preserve">беспечена ли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>перевозчиком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D82E99">
              <w:rPr>
                <w:rFonts w:eastAsiaTheme="minorHAnsi"/>
                <w:sz w:val="20"/>
                <w:szCs w:val="20"/>
                <w:lang w:eastAsia="en-US"/>
              </w:rPr>
              <w:t>возможность безналичной оплаты проезда пассажиров и перевозки багажа в транспортных средствах, используемых для осуществления регулярных перевозок?</w:t>
            </w:r>
          </w:p>
        </w:tc>
        <w:tc>
          <w:tcPr>
            <w:tcW w:w="2693" w:type="dxa"/>
          </w:tcPr>
          <w:p w:rsidR="00470FBF" w:rsidRPr="006119B3" w:rsidRDefault="001908CA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ункт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>4.1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 части 1 статьи 19 </w:t>
            </w:r>
            <w:r w:rsidR="00DE1F62"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21 декабря 2018 года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9D6915">
              <w:rPr>
                <w:rFonts w:eastAsiaTheme="minorHAnsi"/>
                <w:sz w:val="20"/>
                <w:szCs w:val="20"/>
                <w:lang w:eastAsia="en-US"/>
              </w:rPr>
              <w:t xml:space="preserve">беспечено ли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перевозчиком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соответствие о</w:t>
            </w:r>
            <w:r w:rsidRPr="009D6915">
              <w:rPr>
                <w:rFonts w:eastAsiaTheme="minorHAnsi"/>
                <w:sz w:val="20"/>
                <w:szCs w:val="20"/>
                <w:lang w:eastAsia="en-US"/>
              </w:rPr>
              <w:t>борудования, внутреннего и внешнего оформление транспортных средств, предназначенных для регулярных перевозок, установленным федеральным законодательством требованиям, в том числе к средствам навигации и к обеспечению условий доступности пассажиров из числа инвалидов, информировани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</w:t>
            </w:r>
            <w:r w:rsidRPr="009D6915">
              <w:rPr>
                <w:rFonts w:eastAsiaTheme="minorHAnsi"/>
                <w:sz w:val="20"/>
                <w:szCs w:val="20"/>
                <w:lang w:eastAsia="en-US"/>
              </w:rPr>
              <w:t xml:space="preserve"> пассажиров об условиях и виде регулярных перевозок?</w:t>
            </w:r>
          </w:p>
        </w:tc>
        <w:tc>
          <w:tcPr>
            <w:tcW w:w="2693" w:type="dxa"/>
          </w:tcPr>
          <w:p w:rsidR="00470FBF" w:rsidRPr="0074699A" w:rsidRDefault="001908CA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70FBF">
              <w:rPr>
                <w:sz w:val="20"/>
                <w:szCs w:val="20"/>
              </w:rPr>
              <w:t xml:space="preserve">асть 2 статьи 17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Закона Краснодарского края от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 xml:space="preserve">21 декабря 2018 года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>№ 3931-КЗ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70FBF" w:rsidRPr="006119B3">
              <w:rPr>
                <w:rFonts w:eastAsiaTheme="minorHAnsi"/>
                <w:sz w:val="20"/>
                <w:szCs w:val="20"/>
                <w:lang w:eastAsia="en-US"/>
              </w:rPr>
              <w:t>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Размещены ли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перевозчиком </w:t>
            </w:r>
            <w:r w:rsidRPr="007B6D3F">
              <w:rPr>
                <w:rFonts w:eastAsiaTheme="minorHAnsi"/>
                <w:sz w:val="20"/>
                <w:szCs w:val="20"/>
                <w:lang w:eastAsia="en-US"/>
              </w:rPr>
              <w:t>на транспортных средствах, используемых для регулярных перевозок пассажиров и багажа, указатели маршрута регулярных перевозок?</w:t>
            </w:r>
          </w:p>
        </w:tc>
        <w:tc>
          <w:tcPr>
            <w:tcW w:w="2693" w:type="dxa"/>
          </w:tcPr>
          <w:p w:rsidR="00470FBF" w:rsidRPr="007B6D3F" w:rsidRDefault="001908CA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ункт 17 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Российской Федерации от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 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Соответствуют ли размещенные </w:t>
            </w:r>
            <w:r w:rsidRPr="00B60374">
              <w:rPr>
                <w:rFonts w:eastAsiaTheme="minorHAnsi"/>
                <w:sz w:val="20"/>
                <w:szCs w:val="20"/>
                <w:lang w:eastAsia="en-US"/>
              </w:rPr>
              <w:t xml:space="preserve">перевозчиком, осуществляющим регулярные перевозки, </w:t>
            </w:r>
            <w:r w:rsidRPr="007B6D3F">
              <w:rPr>
                <w:rFonts w:eastAsiaTheme="minorHAnsi"/>
                <w:sz w:val="20"/>
                <w:szCs w:val="20"/>
                <w:lang w:eastAsia="en-US"/>
              </w:rPr>
              <w:t>на транспортных средствах, используемых для регулярных перевозок пассажиров и багажа, указатели марш</w:t>
            </w:r>
            <w:r w:rsidRPr="007B6D3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рута регулярных перевозок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предъявляемым требованиям</w:t>
            </w:r>
            <w:r w:rsidRPr="007B6D3F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7B6D3F" w:rsidRDefault="001908CA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>ы 18-22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 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2020 года № 1586 «Об утверждении Правил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3.13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Имеется ли в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транспортном средстве с двумя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 и более дверьми, через которые осуществляется вход пассажиров, за исключением транспортных средств 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 xml:space="preserve">категории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hyperlink r:id="rId11" w:history="1">
              <w:r>
                <w:rPr>
                  <w:rFonts w:eastAsiaTheme="minorHAnsi"/>
                  <w:sz w:val="20"/>
                  <w:szCs w:val="20"/>
                  <w:lang w:eastAsia="en-US"/>
                </w:rPr>
                <w:t>»</w:t>
              </w:r>
            </w:hyperlink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, над каждой дверью с наружной стороны перевозчиком табличка с надписью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>Вход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 или надпись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>Вход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7B6D3F" w:rsidRDefault="001908CA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ункт 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 Правил перевозок пассажиров и багажа автомобильным транспортом и 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городским наземным электрическим транспортом, утвержденных постановление Правит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 № 1586 «Об утверждении Правил перевозок пассажиров и багажа автомобильным т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ранспортом и городским наземным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электрическим транспортом»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781EE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Имеется ли в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транспортном средстве с двумя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 и более дверьми, через которые осуществляется 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ход пассажиров, за исключением транспортных средств 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 xml:space="preserve">категории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hyperlink r:id="rId12" w:history="1">
              <w:r>
                <w:rPr>
                  <w:rFonts w:eastAsiaTheme="minorHAnsi"/>
                  <w:sz w:val="20"/>
                  <w:szCs w:val="20"/>
                  <w:lang w:eastAsia="en-US"/>
                </w:rPr>
                <w:t>»</w:t>
              </w:r>
            </w:hyperlink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, над каждой дверью с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внутренне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й стороны перевозчиком табличка с надписью </w:t>
            </w:r>
            <w:r w:rsidR="009861CF">
              <w:rPr>
                <w:rFonts w:eastAsiaTheme="minorHAnsi"/>
                <w:sz w:val="20"/>
                <w:szCs w:val="20"/>
                <w:lang w:eastAsia="en-US"/>
              </w:rPr>
              <w:t xml:space="preserve">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>ход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 xml:space="preserve"> или надпись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8D0783">
              <w:rPr>
                <w:rFonts w:eastAsiaTheme="minorHAnsi"/>
                <w:sz w:val="20"/>
                <w:szCs w:val="20"/>
                <w:lang w:eastAsia="en-US"/>
              </w:rPr>
              <w:t>ход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E64A54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7B6D3F" w:rsidRDefault="001908CA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ункт 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 Правил перевозок пассажиров и багажа автомобильным транспортом и 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городским наземным электрическим транспортом, утвержденных постановление Правит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 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 w:val="restart"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  <w:gridSpan w:val="6"/>
          </w:tcPr>
          <w:p w:rsidR="00DE1F62" w:rsidRPr="004966AE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Размещена ли перевозчиком внутри транспортного средства, используемого для регулярных перевозок, сл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едующая обязательная информация: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584F6D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а) н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аименование, адрес и номер телефона перевозчика, фамилия водителя, а при наличии кондук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тора - также фамилия кондуктора?</w:t>
            </w:r>
          </w:p>
        </w:tc>
        <w:tc>
          <w:tcPr>
            <w:tcW w:w="2693" w:type="dxa"/>
          </w:tcPr>
          <w:p w:rsidR="00DE1F62" w:rsidRPr="007B6D3F" w:rsidRDefault="001908CA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«а» пункта 24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октября 2020 года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584F6D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б) н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омера мест для сидения, за исключением случаев, когда транспортное средство используется для осуществления регулярных перевозок по билетам, в которых не указ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ывается номер места для сидения?</w:t>
            </w:r>
          </w:p>
        </w:tc>
        <w:tc>
          <w:tcPr>
            <w:tcW w:w="2693" w:type="dxa"/>
          </w:tcPr>
          <w:p w:rsidR="00DE1F62" w:rsidRPr="007B6D3F" w:rsidRDefault="001908CA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«б» пункта 24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584F6D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в) с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тоимость проезда, провоза ручной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клади и перевозки багажа?</w:t>
            </w:r>
          </w:p>
        </w:tc>
        <w:tc>
          <w:tcPr>
            <w:tcW w:w="2693" w:type="dxa"/>
          </w:tcPr>
          <w:p w:rsidR="00DE1F62" w:rsidRPr="007B6D3F" w:rsidRDefault="001908CA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«в» пункта 24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октября 2020 года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584F6D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г) у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казатели мест для пассажиров с детьми и инвалидов, за исключением случаев, когда транспортное средство используется для осуществления регулярных перевозок по билетам, в которых указ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ывается номер места для сидения?</w:t>
            </w:r>
          </w:p>
        </w:tc>
        <w:tc>
          <w:tcPr>
            <w:tcW w:w="2693" w:type="dxa"/>
          </w:tcPr>
          <w:p w:rsidR="00DE1F62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«г» пункта 24, пункт 26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2020 года 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584F6D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д) у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казатели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мест расположения огнетушителей?</w:t>
            </w:r>
          </w:p>
        </w:tc>
        <w:tc>
          <w:tcPr>
            <w:tcW w:w="2693" w:type="dxa"/>
          </w:tcPr>
          <w:p w:rsidR="00DE1F62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«д» пункта 24, пункт 26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</w:t>
            </w:r>
            <w:r w:rsidR="009861C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 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584F6D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е) у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казатели мест расположения кнопок 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становки транспортного средства?</w:t>
            </w:r>
          </w:p>
        </w:tc>
        <w:tc>
          <w:tcPr>
            <w:tcW w:w="2693" w:type="dxa"/>
          </w:tcPr>
          <w:p w:rsidR="00DE1F62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«е» пункта 24, пункт 26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 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DE1F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584F6D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ж) у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казатели аварийных выходов и прав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ила пользования такими выходами?</w:t>
            </w:r>
          </w:p>
        </w:tc>
        <w:tc>
          <w:tcPr>
            <w:tcW w:w="2693" w:type="dxa"/>
          </w:tcPr>
          <w:p w:rsidR="00DE1F62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«ж» пункта 24, пункт 26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2020 года 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DE1F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E64A54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з) п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рава и обязанности пассажиров согласно Правилам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 1 октября 2020 года № 1586 «Об утверждении Правил перевозок пассажиров и багажа автомобильным транспортом и городским назе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мным электрическим транспортом»?</w:t>
            </w:r>
          </w:p>
        </w:tc>
        <w:tc>
          <w:tcPr>
            <w:tcW w:w="2693" w:type="dxa"/>
          </w:tcPr>
          <w:p w:rsidR="00DE1F62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одпункт «з» пункта 24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ва Российской Федерации от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2020 года 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Размещен ли перевозчиком на 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транспортно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средств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, используемо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для регулярных перевозок, </w:t>
            </w:r>
            <w:r w:rsidRPr="00227980">
              <w:rPr>
                <w:rFonts w:eastAsiaTheme="minorHAnsi"/>
                <w:sz w:val="20"/>
                <w:szCs w:val="20"/>
                <w:lang w:eastAsia="en-US"/>
              </w:rPr>
              <w:t xml:space="preserve">знак о запрете курения табака, потребления </w:t>
            </w:r>
            <w:proofErr w:type="spellStart"/>
            <w:r w:rsidRPr="00227980">
              <w:rPr>
                <w:rFonts w:eastAsiaTheme="minorHAnsi"/>
                <w:sz w:val="20"/>
                <w:szCs w:val="20"/>
                <w:lang w:eastAsia="en-US"/>
              </w:rPr>
              <w:t>никотинсодержащей</w:t>
            </w:r>
            <w:proofErr w:type="spellEnd"/>
            <w:r w:rsidRPr="00227980">
              <w:rPr>
                <w:rFonts w:eastAsiaTheme="minorHAnsi"/>
                <w:sz w:val="20"/>
                <w:szCs w:val="20"/>
                <w:lang w:eastAsia="en-US"/>
              </w:rPr>
              <w:t xml:space="preserve"> продукции или использования кальянов?</w:t>
            </w:r>
          </w:p>
        </w:tc>
        <w:tc>
          <w:tcPr>
            <w:tcW w:w="2693" w:type="dxa"/>
          </w:tcPr>
          <w:p w:rsidR="00470FBF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ункт 4 части 1, часть 5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закона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 xml:space="preserve">23 февраля 2013 года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>№ 15-ФЗ «Об охране здоровья граждан от воздействия окружающего табачного дыма, последствий потребления табака или потреблени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spellStart"/>
            <w:r w:rsidR="005A1B48">
              <w:rPr>
                <w:rFonts w:ascii="Times New Roman" w:hAnsi="Times New Roman" w:cs="Times New Roman"/>
                <w:sz w:val="20"/>
                <w:szCs w:val="20"/>
              </w:rPr>
              <w:t>никотинсодержащей</w:t>
            </w:r>
            <w:proofErr w:type="spellEnd"/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продукции»;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здравоохранения Российской Федерации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 xml:space="preserve">от 20 февраля 2021 года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>№ 129н «Об утверждении требований к знаку о запрете курения табак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потребления </w:t>
            </w:r>
            <w:proofErr w:type="spellStart"/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t>никотинсодержащей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 w:rsidRPr="005831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продукции или использования кальянов и к порядку его размещения»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3.17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297CE3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Пройден ли транспортным средством, 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используем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ым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для регулярных перевозок,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97CE3">
              <w:rPr>
                <w:rFonts w:eastAsiaTheme="minorHAnsi"/>
                <w:sz w:val="20"/>
                <w:szCs w:val="20"/>
                <w:lang w:eastAsia="en-US"/>
              </w:rPr>
              <w:t>в установленном порядке государственный технический осмотр?</w:t>
            </w:r>
          </w:p>
        </w:tc>
        <w:tc>
          <w:tcPr>
            <w:tcW w:w="2693" w:type="dxa"/>
          </w:tcPr>
          <w:p w:rsidR="00470FBF" w:rsidRPr="0005563C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асть 1 статьи 1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7 Закона Краснодарского края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9762BB">
              <w:rPr>
                <w:rFonts w:ascii="Times New Roman" w:hAnsi="Times New Roman" w:cs="Times New Roman"/>
                <w:sz w:val="20"/>
                <w:szCs w:val="20"/>
              </w:rPr>
              <w:t>21 декабр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я 2018 года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</w:t>
            </w:r>
            <w:r w:rsidR="009762BB">
              <w:rPr>
                <w:rFonts w:ascii="Times New Roman" w:hAnsi="Times New Roman" w:cs="Times New Roman"/>
                <w:sz w:val="20"/>
                <w:szCs w:val="20"/>
              </w:rPr>
              <w:t xml:space="preserve">нспортом в Краснодарском крае»;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абзац третий пункта 9 Правил обеспечения безопасности перевозок автомобильным транспортом и городским наземным электрическим транспортом, утвержденных приказом Министерства транспорта Российской Федерации от 30 апреля 2021 года № 145 «Об утверждении Правил обеспечения безопасности перевозок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97152">
              <w:rPr>
                <w:rFonts w:eastAsiaTheme="minorHAnsi"/>
                <w:sz w:val="20"/>
                <w:szCs w:val="20"/>
                <w:lang w:eastAsia="en-US"/>
              </w:rPr>
              <w:t xml:space="preserve">Обеспечивается ли и проведен ли </w:t>
            </w:r>
            <w:proofErr w:type="spellStart"/>
            <w:r w:rsidRPr="00397152">
              <w:rPr>
                <w:rFonts w:eastAsiaTheme="minorHAnsi"/>
                <w:sz w:val="20"/>
                <w:szCs w:val="20"/>
                <w:lang w:eastAsia="en-US"/>
              </w:rPr>
              <w:t>предрейсовый</w:t>
            </w:r>
            <w:proofErr w:type="spellEnd"/>
            <w:r w:rsidRPr="00397152">
              <w:rPr>
                <w:rFonts w:eastAsiaTheme="minorHAnsi"/>
                <w:sz w:val="20"/>
                <w:szCs w:val="20"/>
                <w:lang w:eastAsia="en-US"/>
              </w:rPr>
              <w:t xml:space="preserve"> контроль технического состояния транспортных средств,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используем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ых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для регулярных перевозок,</w:t>
            </w:r>
            <w:r w:rsidRPr="00397152">
              <w:rPr>
                <w:rFonts w:eastAsiaTheme="minorHAnsi"/>
                <w:sz w:val="20"/>
                <w:szCs w:val="20"/>
                <w:lang w:eastAsia="en-US"/>
              </w:rPr>
              <w:t xml:space="preserve"> в порядке, установленном федеральным законодательством? </w:t>
            </w:r>
          </w:p>
        </w:tc>
        <w:tc>
          <w:tcPr>
            <w:tcW w:w="2693" w:type="dxa"/>
          </w:tcPr>
          <w:p w:rsidR="00470FBF" w:rsidRPr="00397152" w:rsidRDefault="003B5743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470FBF" w:rsidRPr="00397152">
              <w:rPr>
                <w:rFonts w:eastAsiaTheme="minorHAnsi"/>
                <w:sz w:val="20"/>
                <w:szCs w:val="20"/>
                <w:lang w:eastAsia="en-US"/>
              </w:rPr>
              <w:t>татья 20 Федерального закона от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="00470FBF" w:rsidRPr="00397152">
              <w:rPr>
                <w:rFonts w:eastAsiaTheme="minorHAnsi"/>
                <w:sz w:val="20"/>
                <w:szCs w:val="20"/>
                <w:lang w:eastAsia="en-US"/>
              </w:rPr>
              <w:t xml:space="preserve"> 10 декабря 1995 года № 196-ФЗ «О безопасности дорожного движения», абзац четвертый пункта 9 Правил обеспечения безопасности перевозок автомобильным транспортом и городским наземным электрическим транспортом, утвержденных приказом Министерства транспорта Российской Федерации от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        </w:t>
            </w:r>
            <w:r w:rsidR="00470FBF" w:rsidRPr="00397152">
              <w:rPr>
                <w:rFonts w:eastAsiaTheme="minorHAnsi"/>
                <w:sz w:val="20"/>
                <w:szCs w:val="20"/>
                <w:lang w:eastAsia="en-US"/>
              </w:rPr>
              <w:t xml:space="preserve">30 апреля 2021 года № 145 «Об утверждении Правил обеспечения безопасности перевозок автомобильным транспортом и городским наземным электрическим транспортом»,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пункт 10 </w:t>
            </w:r>
            <w:r w:rsidR="005A1B48">
              <w:rPr>
                <w:rFonts w:eastAsiaTheme="minorHAnsi"/>
                <w:sz w:val="20"/>
                <w:szCs w:val="20"/>
                <w:lang w:eastAsia="en-US"/>
              </w:rPr>
              <w:t xml:space="preserve">               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части 1 статьи 19 </w:t>
            </w:r>
            <w:r w:rsidR="00470FBF" w:rsidRPr="0005563C">
              <w:rPr>
                <w:rFonts w:eastAsiaTheme="minorHAnsi"/>
                <w:sz w:val="20"/>
                <w:szCs w:val="20"/>
                <w:lang w:eastAsia="en-US"/>
              </w:rPr>
              <w:t>Закона Краснодарско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го края от </w:t>
            </w:r>
            <w:r w:rsidR="005A1B48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</w:t>
            </w:r>
            <w:r w:rsidR="00470FBF">
              <w:rPr>
                <w:rFonts w:eastAsiaTheme="minorHAnsi"/>
                <w:sz w:val="20"/>
                <w:szCs w:val="20"/>
                <w:lang w:eastAsia="en-US"/>
              </w:rPr>
              <w:t xml:space="preserve">21 декабря 2018 года </w:t>
            </w:r>
            <w:r w:rsidR="005A1B48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</w:t>
            </w:r>
            <w:r w:rsidR="00470FBF" w:rsidRPr="0005563C">
              <w:rPr>
                <w:rFonts w:eastAsiaTheme="minorHAnsi"/>
                <w:sz w:val="20"/>
                <w:szCs w:val="20"/>
                <w:lang w:eastAsia="en-US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F68DE">
              <w:rPr>
                <w:rFonts w:eastAsiaTheme="minorHAnsi"/>
                <w:sz w:val="20"/>
                <w:szCs w:val="20"/>
                <w:lang w:eastAsia="en-US"/>
              </w:rPr>
              <w:t>Организован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CF68DE">
              <w:rPr>
                <w:rFonts w:eastAsiaTheme="minorHAnsi"/>
                <w:sz w:val="20"/>
                <w:szCs w:val="20"/>
                <w:lang w:eastAsia="en-US"/>
              </w:rPr>
              <w:t xml:space="preserve"> ли перевозчиком хранение и охран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CF68DE">
              <w:rPr>
                <w:rFonts w:eastAsiaTheme="minorHAnsi"/>
                <w:sz w:val="20"/>
                <w:szCs w:val="20"/>
                <w:lang w:eastAsia="en-US"/>
              </w:rPr>
              <w:t xml:space="preserve"> транспортных средств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используем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ых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для регулярных перевозок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CF68DE">
              <w:rPr>
                <w:rFonts w:eastAsiaTheme="minorHAnsi"/>
                <w:sz w:val="20"/>
                <w:szCs w:val="20"/>
                <w:lang w:eastAsia="en-US"/>
              </w:rPr>
              <w:t xml:space="preserve"> для исключения возможности самовольного их использования водителями или посторонними лицами?</w:t>
            </w:r>
          </w:p>
        </w:tc>
        <w:tc>
          <w:tcPr>
            <w:tcW w:w="2693" w:type="dxa"/>
          </w:tcPr>
          <w:p w:rsidR="00470FBF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ункт 11 части 1 статьи 19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 xml:space="preserve">Закона Краснодарского края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от 21 декабря 2018 года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 xml:space="preserve">№ 3931-КЗ «Об организации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3.20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9245D">
              <w:rPr>
                <w:rFonts w:eastAsiaTheme="minorHAnsi"/>
                <w:sz w:val="20"/>
                <w:szCs w:val="20"/>
                <w:lang w:eastAsia="en-US"/>
              </w:rPr>
              <w:t xml:space="preserve">Обеспечивается ли перевозчиком замена транспортного средства, 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>используем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ого</w:t>
            </w:r>
            <w:r w:rsidRPr="00584F6D">
              <w:rPr>
                <w:rFonts w:eastAsiaTheme="minorHAnsi"/>
                <w:sz w:val="20"/>
                <w:szCs w:val="20"/>
                <w:lang w:eastAsia="en-US"/>
              </w:rPr>
              <w:t xml:space="preserve"> для регулярных перевозок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89245D">
              <w:rPr>
                <w:rFonts w:eastAsiaTheme="minorHAnsi"/>
                <w:sz w:val="20"/>
                <w:szCs w:val="20"/>
                <w:lang w:eastAsia="en-US"/>
              </w:rPr>
              <w:t xml:space="preserve"> при возникновении его технической неисправности или дорожно-транспортного происшествия на резервное транспортное средство, соответствующее по характеристикам сведениям, указанным в карте, в срок не более четырех часов для продолжения перевозки пассажиров и багажа по маршруту?</w:t>
            </w:r>
          </w:p>
        </w:tc>
        <w:tc>
          <w:tcPr>
            <w:tcW w:w="2693" w:type="dxa"/>
          </w:tcPr>
          <w:p w:rsidR="00470FBF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>ункт 3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 части 1 статьи 19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Закона Краснодарского края от 21 декабря 2018 года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D5738">
              <w:rPr>
                <w:rFonts w:eastAsiaTheme="minorHAnsi"/>
                <w:sz w:val="20"/>
                <w:szCs w:val="20"/>
                <w:lang w:eastAsia="en-US"/>
              </w:rPr>
              <w:t>Обеспечено ли перевозчиком наличие стоянки для всех принадлежащих либо используемых им транспортных средств, а также помещений и оборудования, позволяющих осуществлять техническое обслуживание и ремонт этих транспортных средств, или заключение договоров со специализированными организациями о стоянке этих транспортных средств, об их техническом обслуживании и о ремонте?</w:t>
            </w:r>
          </w:p>
        </w:tc>
        <w:tc>
          <w:tcPr>
            <w:tcW w:w="2693" w:type="dxa"/>
          </w:tcPr>
          <w:p w:rsidR="00470FBF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>ункт 15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 части 1 статьи 19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Закона Краснодарского края от 21 декабря 2018 года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D4699">
              <w:rPr>
                <w:rFonts w:eastAsiaTheme="minorHAnsi"/>
                <w:sz w:val="20"/>
                <w:szCs w:val="20"/>
                <w:lang w:eastAsia="en-US"/>
              </w:rPr>
              <w:t>Допускается ли перевозчиком безбилетный проезд пассажиров и (или) провоз неоплаченного багажа?</w:t>
            </w:r>
          </w:p>
        </w:tc>
        <w:tc>
          <w:tcPr>
            <w:tcW w:w="2693" w:type="dxa"/>
          </w:tcPr>
          <w:p w:rsidR="00470FBF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ункты 27, 28, 30, 37, 38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  <w:r w:rsidR="009762B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470FBF" w:rsidRPr="00941C47">
              <w:rPr>
                <w:rFonts w:ascii="Times New Roman" w:hAnsi="Times New Roman" w:cs="Times New Roman"/>
                <w:sz w:val="20"/>
                <w:szCs w:val="20"/>
              </w:rPr>
              <w:t>одпункт «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470FBF" w:rsidRPr="00941C47">
              <w:rPr>
                <w:rFonts w:ascii="Times New Roman" w:hAnsi="Times New Roman" w:cs="Times New Roman"/>
                <w:sz w:val="20"/>
                <w:szCs w:val="20"/>
              </w:rPr>
              <w:t xml:space="preserve">» пункта 7 части 1 статьи 19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 xml:space="preserve">Закона Краснодарского края от 21 декабря 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2018 года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3.23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Обеспечена ли перевозчиком возможность льготного проезда для отдельных категорий граждан, в случае предоставления отдельным категориям граждан льгот в установленном порядке?</w:t>
            </w:r>
          </w:p>
        </w:tc>
        <w:tc>
          <w:tcPr>
            <w:tcW w:w="2693" w:type="dxa"/>
          </w:tcPr>
          <w:p w:rsidR="00470FBF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асть 1 статьи 20 </w:t>
            </w:r>
            <w:r w:rsidR="00470FBF" w:rsidRPr="00941C47">
              <w:rPr>
                <w:rFonts w:ascii="Times New Roman" w:hAnsi="Times New Roman" w:cs="Times New Roman"/>
                <w:sz w:val="20"/>
                <w:szCs w:val="20"/>
              </w:rPr>
              <w:t>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      </w:r>
            <w:r w:rsidR="009762BB">
              <w:rPr>
                <w:rFonts w:ascii="Times New Roman" w:hAnsi="Times New Roman" w:cs="Times New Roman"/>
                <w:sz w:val="20"/>
                <w:szCs w:val="20"/>
              </w:rPr>
              <w:t>ьные акты Российской Федерации»;</w:t>
            </w:r>
            <w:r w:rsidR="00470FBF" w:rsidRPr="00941C47">
              <w:rPr>
                <w:rFonts w:ascii="Times New Roman" w:hAnsi="Times New Roman" w:cs="Times New Roman"/>
                <w:sz w:val="20"/>
                <w:szCs w:val="20"/>
              </w:rPr>
              <w:t xml:space="preserve"> подпункт «а» пункта 7 части 1 статьи 19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>Закона Краснодарского края от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21 декабря 2018 года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 w:val="restart"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3.24.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  <w:gridSpan w:val="6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Содержат ли 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 xml:space="preserve">указатели, определяющие место остановки транспортного средства для посадки </w:t>
            </w:r>
            <w:r w:rsidR="005A1B48">
              <w:rPr>
                <w:rFonts w:eastAsiaTheme="minorHAnsi"/>
                <w:sz w:val="20"/>
                <w:szCs w:val="20"/>
                <w:lang w:eastAsia="en-US"/>
              </w:rPr>
              <w:t xml:space="preserve">                 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(высадки) пассажиров на остановочных пунктах, обязательную информацию:</w:t>
            </w: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а) у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словное обозначение транспортного средства (автобуса, троллейбуса, трамвая), используемого для осу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ществления регулярных перевозок?</w:t>
            </w:r>
          </w:p>
        </w:tc>
        <w:tc>
          <w:tcPr>
            <w:tcW w:w="2693" w:type="dxa"/>
          </w:tcPr>
          <w:p w:rsidR="00DE1F62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9A2D3A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б) н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именование остановочного пункта?</w:t>
            </w:r>
          </w:p>
        </w:tc>
        <w:tc>
          <w:tcPr>
            <w:tcW w:w="2693" w:type="dxa"/>
          </w:tcPr>
          <w:p w:rsidR="00DE1F62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9A2D3A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в) н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омера маршрутов регулярных перевозок, в состав кот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орых включен остановочный пункт?</w:t>
            </w:r>
          </w:p>
        </w:tc>
        <w:tc>
          <w:tcPr>
            <w:tcW w:w="2693" w:type="dxa"/>
          </w:tcPr>
          <w:p w:rsidR="00DE1F62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>вительства Российской Феде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9A2D3A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г) н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аименование конечного остановочного пункта каждог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 маршрута регулярных перевозок?</w:t>
            </w:r>
          </w:p>
        </w:tc>
        <w:tc>
          <w:tcPr>
            <w:tcW w:w="2693" w:type="dxa"/>
          </w:tcPr>
          <w:p w:rsidR="00DE1F62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ельства Российской Федерации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9A2D3A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д) р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 xml:space="preserve">асписание для всех маршрутов регулярных перевозок, в состав которых включен остановочный пункт, за исключением остановочных пунктов, в которых посадка (высадка) пассажиров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осуществляется по их требованию?</w:t>
            </w:r>
          </w:p>
        </w:tc>
        <w:tc>
          <w:tcPr>
            <w:tcW w:w="2693" w:type="dxa"/>
          </w:tcPr>
          <w:p w:rsidR="00DE1F62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9A2D3A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е) н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 xml:space="preserve">адпись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По требованию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 xml:space="preserve"> в остановочных пунктах, в которых посадка (высадка) пассажиров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осуществляется по их требованию?</w:t>
            </w:r>
          </w:p>
        </w:tc>
        <w:tc>
          <w:tcPr>
            <w:tcW w:w="2693" w:type="dxa"/>
          </w:tcPr>
          <w:p w:rsidR="00DE1F62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Правил перевозок пассажиров и багажа автомобильным транспортом и городским наземным электрическим транспортом, утвержденных постановление Правит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>ельства Российской Федерации от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9A2D3A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ж) н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 xml:space="preserve">адпись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Посадки нет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 xml:space="preserve"> в остановочных пунктах, в которых осуществл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яется только высадка пассажиров?</w:t>
            </w:r>
          </w:p>
        </w:tc>
        <w:tc>
          <w:tcPr>
            <w:tcW w:w="2693" w:type="dxa"/>
          </w:tcPr>
          <w:p w:rsidR="00DE1F62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№ 1586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1F62" w:rsidRPr="00DD5953" w:rsidTr="009D3DC5">
        <w:trPr>
          <w:trHeight w:val="70"/>
        </w:trPr>
        <w:tc>
          <w:tcPr>
            <w:tcW w:w="709" w:type="dxa"/>
            <w:vMerge/>
          </w:tcPr>
          <w:p w:rsidR="00DE1F62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E1F62" w:rsidRPr="009A2D3A" w:rsidRDefault="00DE1F62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з) н</w:t>
            </w:r>
            <w:r w:rsidRPr="009A2D3A">
              <w:rPr>
                <w:rFonts w:eastAsiaTheme="minorHAnsi"/>
                <w:sz w:val="20"/>
                <w:szCs w:val="20"/>
                <w:lang w:eastAsia="en-US"/>
              </w:rPr>
              <w:t>аименование, адрес и контактные телефоны органа, обеспечивающего контроль за осущ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ествлением регулярных перевозок?</w:t>
            </w:r>
          </w:p>
        </w:tc>
        <w:tc>
          <w:tcPr>
            <w:tcW w:w="2693" w:type="dxa"/>
          </w:tcPr>
          <w:p w:rsidR="00DE1F62" w:rsidRDefault="003B5743" w:rsidP="00F801E9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ункт 11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 xml:space="preserve">Правил перевозок пассажиров и багажа автомобильным транспортом и городским наземным электрическим транспортом, утвержденных постановление Правительства Российской Федерации от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1 октября 2020 года</w:t>
            </w:r>
            <w:r w:rsidR="00DE1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1586 </w:t>
            </w:r>
            <w:r w:rsidR="00DE1F62" w:rsidRPr="007B6D3F">
              <w:rPr>
                <w:rFonts w:ascii="Times New Roman" w:hAnsi="Times New Roman" w:cs="Times New Roman"/>
                <w:sz w:val="20"/>
                <w:szCs w:val="20"/>
              </w:rPr>
              <w:t>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E1F62" w:rsidRPr="00DD5953" w:rsidRDefault="00DE1F62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605" w:rsidRPr="00DD5953" w:rsidTr="009D3DC5">
        <w:trPr>
          <w:trHeight w:val="70"/>
        </w:trPr>
        <w:tc>
          <w:tcPr>
            <w:tcW w:w="709" w:type="dxa"/>
          </w:tcPr>
          <w:p w:rsidR="007F1605" w:rsidRDefault="007F1605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3.25.</w:t>
            </w:r>
          </w:p>
        </w:tc>
        <w:tc>
          <w:tcPr>
            <w:tcW w:w="2268" w:type="dxa"/>
          </w:tcPr>
          <w:p w:rsidR="007F1605" w:rsidRDefault="00BE7DCB" w:rsidP="00BE7D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Выделена ли остановочная площадка </w:t>
            </w:r>
            <w:r w:rsidR="007F1605">
              <w:rPr>
                <w:rFonts w:eastAsiaTheme="minorHAnsi"/>
                <w:sz w:val="20"/>
                <w:szCs w:val="20"/>
                <w:lang w:eastAsia="en-US"/>
              </w:rPr>
              <w:t>разметкой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1.17 (разметкой в виде желтой зигзагообразной линии) для обозначения участка дороги, на котором организована остановка маршрутных транспортных средств (в том числе автобусов)</w:t>
            </w:r>
            <w:r w:rsidR="007F1605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7F1605" w:rsidRPr="000369D7" w:rsidRDefault="003B5743" w:rsidP="000369D7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>п</w:t>
            </w:r>
            <w:r w:rsidR="000369D7" w:rsidRP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>ункт 5.2 Стандарт</w:t>
            </w:r>
            <w:r w:rsid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>а отрасли ОСТ 218.1.002-2003 «</w:t>
            </w:r>
            <w:r w:rsidR="000369D7" w:rsidRP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>Автобусные остановки на автомобильных дорога</w:t>
            </w:r>
            <w:r w:rsid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 xml:space="preserve">х. Общие технические требования» </w:t>
            </w:r>
            <w:r w:rsidR="000369D7" w:rsidRP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>(принят и введен в действие</w:t>
            </w:r>
            <w:r w:rsid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 xml:space="preserve"> распоряжением Го</w:t>
            </w:r>
            <w:r w:rsidR="000369D7" w:rsidRP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>сударственной службы дорожного хозяйства Министерства транспорта Российской Федерации от 23</w:t>
            </w:r>
            <w:r w:rsidR="000369D7">
              <w:rPr>
                <w:rFonts w:ascii="Roboto" w:eastAsia="Times New Roman" w:hAnsi="Roboto" w:cs="Times New Roman"/>
                <w:color w:val="000000"/>
                <w:sz w:val="20"/>
                <w:szCs w:val="20"/>
                <w:lang w:eastAsia="ar-SA"/>
              </w:rPr>
              <w:t xml:space="preserve"> мая 2003 года № ИС-460-р; </w:t>
            </w:r>
            <w:r w:rsidR="007F1605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Национальный стандарт Р</w:t>
            </w:r>
            <w:r w:rsidR="00BE7DCB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оссийской Федерации ГОСТ Р 51256-2018 «</w:t>
            </w:r>
            <w:r w:rsidR="007F1605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Технические средства организации дорожного движения. Разметка дорожная. Класси</w:t>
            </w:r>
            <w:r w:rsidR="00BE7DCB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фикация. Технические требования», утвержден и введен в</w:t>
            </w:r>
            <w:r w:rsidR="007F1605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действие</w:t>
            </w:r>
            <w:r w:rsidR="00BE7DCB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приказом  </w:t>
            </w:r>
            <w:r w:rsidR="007F1605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Федерального агентства </w:t>
            </w:r>
            <w:r w:rsid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          </w:t>
            </w:r>
            <w:r w:rsidR="007F1605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по техническому регулированию и метрологии </w:t>
            </w:r>
            <w:r w:rsid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                   </w:t>
            </w:r>
            <w:r w:rsidR="007F1605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от 20 февраля 2018 г</w:t>
            </w:r>
            <w:r w:rsidR="00BE7DCB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ода </w:t>
            </w:r>
            <w:r w:rsid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             </w:t>
            </w:r>
            <w:r w:rsidR="00BE7DCB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№ </w:t>
            </w:r>
            <w:r w:rsidR="007F1605" w:rsidRPr="0003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81-ст)</w:t>
            </w:r>
          </w:p>
        </w:tc>
        <w:tc>
          <w:tcPr>
            <w:tcW w:w="567" w:type="dxa"/>
          </w:tcPr>
          <w:p w:rsidR="007F1605" w:rsidRPr="00DD5953" w:rsidRDefault="007F1605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F1605" w:rsidRPr="00DD5953" w:rsidRDefault="007F1605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F1605" w:rsidRPr="00DD5953" w:rsidRDefault="007F1605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F1605" w:rsidRPr="00DD5953" w:rsidRDefault="007F1605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0FBF" w:rsidRPr="00DD5953" w:rsidTr="009D3DC5">
        <w:trPr>
          <w:trHeight w:val="70"/>
        </w:trPr>
        <w:tc>
          <w:tcPr>
            <w:tcW w:w="709" w:type="dxa"/>
          </w:tcPr>
          <w:p w:rsidR="00470FBF" w:rsidRDefault="007F1605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3.26</w:t>
            </w:r>
            <w:r w:rsidR="00DE1F6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70FBF" w:rsidRPr="00E64A54" w:rsidRDefault="00470FBF" w:rsidP="00470FB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C4A0B">
              <w:rPr>
                <w:rFonts w:eastAsiaTheme="minorHAnsi"/>
                <w:sz w:val="20"/>
                <w:szCs w:val="20"/>
                <w:lang w:eastAsia="en-US"/>
              </w:rPr>
              <w:t xml:space="preserve">Размещены ли остановочные пункты на маршрутах регулярных </w:t>
            </w:r>
            <w:r w:rsidRPr="001C4A0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перевозок с учетом безопасного и удобного подхода пассажиров в соответствии со строительными нормами и правилами их технической эксплуатации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693" w:type="dxa"/>
          </w:tcPr>
          <w:p w:rsidR="00470FBF" w:rsidRPr="007B6D3F" w:rsidRDefault="003B5743" w:rsidP="00470FBF">
            <w:pPr>
              <w:pStyle w:val="aa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  <w:bookmarkStart w:id="1" w:name="_GoBack"/>
            <w:bookmarkEnd w:id="1"/>
            <w:r w:rsidR="00470FBF">
              <w:rPr>
                <w:rFonts w:ascii="Times New Roman" w:hAnsi="Times New Roman" w:cs="Times New Roman"/>
                <w:sz w:val="20"/>
                <w:szCs w:val="20"/>
              </w:rPr>
              <w:t xml:space="preserve">асть 4 статьи 18 </w:t>
            </w:r>
            <w:r w:rsidR="00F801E9">
              <w:rPr>
                <w:rFonts w:ascii="Times New Roman" w:hAnsi="Times New Roman" w:cs="Times New Roman"/>
                <w:sz w:val="20"/>
                <w:szCs w:val="20"/>
              </w:rPr>
              <w:t xml:space="preserve">Закона Краснодарского края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от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t>21 декабря 2018 года</w:t>
            </w:r>
            <w:r w:rsidR="00470FBF" w:rsidRPr="00CF68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1B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470FBF" w:rsidRPr="000556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</w:t>
            </w: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70FBF" w:rsidRPr="00DD5953" w:rsidRDefault="00470FBF" w:rsidP="00470F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F166A" w:rsidRDefault="00AF166A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5C99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Подписи инспекторов, участвующих в проведении контрольного мероприятия, руководителя группы инспекторов:</w:t>
      </w:r>
    </w:p>
    <w:p w:rsidR="00100A52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00A52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0A52" w:rsidRPr="00603394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394" w:rsidRPr="00603394" w:rsidRDefault="00603394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394">
        <w:rPr>
          <w:rFonts w:ascii="Times New Roman" w:hAnsi="Times New Roman" w:cs="Times New Roman"/>
          <w:sz w:val="28"/>
          <w:szCs w:val="28"/>
        </w:rPr>
        <w:t xml:space="preserve">Начальник контрольного управления </w:t>
      </w:r>
    </w:p>
    <w:p w:rsidR="00603394" w:rsidRPr="00603394" w:rsidRDefault="00603394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39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D3342" w:rsidRPr="00603394" w:rsidRDefault="00603394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394">
        <w:rPr>
          <w:rFonts w:ascii="Times New Roman" w:hAnsi="Times New Roman" w:cs="Times New Roman"/>
          <w:sz w:val="28"/>
          <w:szCs w:val="28"/>
        </w:rPr>
        <w:t>Красноармейский район</w:t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  <w:t>А.В. Шувалова</w:t>
      </w:r>
    </w:p>
    <w:sectPr w:rsidR="00DD3342" w:rsidRPr="00603394" w:rsidSect="00D14BF7">
      <w:headerReference w:type="default" r:id="rId13"/>
      <w:pgSz w:w="11906" w:h="16838"/>
      <w:pgMar w:top="1134" w:right="567" w:bottom="1134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F51" w:rsidRDefault="00825F51">
      <w:r>
        <w:separator/>
      </w:r>
    </w:p>
  </w:endnote>
  <w:endnote w:type="continuationSeparator" w:id="0">
    <w:p w:rsidR="00825F51" w:rsidRDefault="008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F51" w:rsidRDefault="00825F51">
      <w:r>
        <w:separator/>
      </w:r>
    </w:p>
  </w:footnote>
  <w:footnote w:type="continuationSeparator" w:id="0">
    <w:p w:rsidR="00825F51" w:rsidRDefault="008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CA" w:rsidRDefault="001908CA" w:rsidP="002D573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5743">
      <w:rPr>
        <w:noProof/>
      </w:rPr>
      <w:t>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846"/>
    <w:multiLevelType w:val="hybridMultilevel"/>
    <w:tmpl w:val="D444D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04C89"/>
    <w:multiLevelType w:val="hybridMultilevel"/>
    <w:tmpl w:val="66066614"/>
    <w:lvl w:ilvl="0" w:tplc="0450B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25"/>
    <w:rsid w:val="00007198"/>
    <w:rsid w:val="00012997"/>
    <w:rsid w:val="00015023"/>
    <w:rsid w:val="00017AA2"/>
    <w:rsid w:val="000369D7"/>
    <w:rsid w:val="00050725"/>
    <w:rsid w:val="0005563C"/>
    <w:rsid w:val="00061C78"/>
    <w:rsid w:val="00082187"/>
    <w:rsid w:val="00085EC1"/>
    <w:rsid w:val="000C4C4A"/>
    <w:rsid w:val="000D063E"/>
    <w:rsid w:val="000D6F90"/>
    <w:rsid w:val="000E32D6"/>
    <w:rsid w:val="000E5C32"/>
    <w:rsid w:val="000F01D1"/>
    <w:rsid w:val="00100A52"/>
    <w:rsid w:val="001076A6"/>
    <w:rsid w:val="001157BD"/>
    <w:rsid w:val="00117487"/>
    <w:rsid w:val="00124698"/>
    <w:rsid w:val="00140B9A"/>
    <w:rsid w:val="00151B00"/>
    <w:rsid w:val="00176FB7"/>
    <w:rsid w:val="00184F68"/>
    <w:rsid w:val="0018515F"/>
    <w:rsid w:val="001908CA"/>
    <w:rsid w:val="001969C1"/>
    <w:rsid w:val="00196BF6"/>
    <w:rsid w:val="001A36DA"/>
    <w:rsid w:val="001C0D90"/>
    <w:rsid w:val="001C4967"/>
    <w:rsid w:val="001C4A0B"/>
    <w:rsid w:val="001D2737"/>
    <w:rsid w:val="001F0D88"/>
    <w:rsid w:val="001F60E8"/>
    <w:rsid w:val="0020474A"/>
    <w:rsid w:val="002056CC"/>
    <w:rsid w:val="002157FF"/>
    <w:rsid w:val="00227980"/>
    <w:rsid w:val="00235E6A"/>
    <w:rsid w:val="0025237F"/>
    <w:rsid w:val="0025318F"/>
    <w:rsid w:val="0027227B"/>
    <w:rsid w:val="002829E8"/>
    <w:rsid w:val="00293BC5"/>
    <w:rsid w:val="00294309"/>
    <w:rsid w:val="00297CE3"/>
    <w:rsid w:val="002C2AF5"/>
    <w:rsid w:val="002D0EDB"/>
    <w:rsid w:val="002D3CCC"/>
    <w:rsid w:val="002D4699"/>
    <w:rsid w:val="002D5738"/>
    <w:rsid w:val="002E1E30"/>
    <w:rsid w:val="0031244C"/>
    <w:rsid w:val="0031258B"/>
    <w:rsid w:val="00320BFB"/>
    <w:rsid w:val="00323D3E"/>
    <w:rsid w:val="003443AF"/>
    <w:rsid w:val="00345B7C"/>
    <w:rsid w:val="00346C53"/>
    <w:rsid w:val="003554B6"/>
    <w:rsid w:val="0037071E"/>
    <w:rsid w:val="003805F3"/>
    <w:rsid w:val="00385F03"/>
    <w:rsid w:val="00394CBC"/>
    <w:rsid w:val="00397152"/>
    <w:rsid w:val="003A3C53"/>
    <w:rsid w:val="003A6A42"/>
    <w:rsid w:val="003B0655"/>
    <w:rsid w:val="003B5743"/>
    <w:rsid w:val="003B68FF"/>
    <w:rsid w:val="003C6593"/>
    <w:rsid w:val="003D6C18"/>
    <w:rsid w:val="003D7BBC"/>
    <w:rsid w:val="003E12FB"/>
    <w:rsid w:val="003E2084"/>
    <w:rsid w:val="003E297F"/>
    <w:rsid w:val="003F1EDF"/>
    <w:rsid w:val="003F2950"/>
    <w:rsid w:val="003F5FAC"/>
    <w:rsid w:val="003F696A"/>
    <w:rsid w:val="00407CD9"/>
    <w:rsid w:val="004107C6"/>
    <w:rsid w:val="004111E4"/>
    <w:rsid w:val="004155EA"/>
    <w:rsid w:val="00417A7E"/>
    <w:rsid w:val="00423D9C"/>
    <w:rsid w:val="00431839"/>
    <w:rsid w:val="00431BD2"/>
    <w:rsid w:val="0043565D"/>
    <w:rsid w:val="004434E1"/>
    <w:rsid w:val="00446DAF"/>
    <w:rsid w:val="00470FBF"/>
    <w:rsid w:val="004736F2"/>
    <w:rsid w:val="004767B6"/>
    <w:rsid w:val="004879BE"/>
    <w:rsid w:val="004966AE"/>
    <w:rsid w:val="00496C3C"/>
    <w:rsid w:val="004A0930"/>
    <w:rsid w:val="004A7858"/>
    <w:rsid w:val="004B260D"/>
    <w:rsid w:val="004B3C28"/>
    <w:rsid w:val="004B5ABD"/>
    <w:rsid w:val="004D1B6C"/>
    <w:rsid w:val="004D2F7E"/>
    <w:rsid w:val="004F4858"/>
    <w:rsid w:val="004F772C"/>
    <w:rsid w:val="00513DB2"/>
    <w:rsid w:val="00530E7E"/>
    <w:rsid w:val="00532835"/>
    <w:rsid w:val="0054568B"/>
    <w:rsid w:val="00546A90"/>
    <w:rsid w:val="005508BB"/>
    <w:rsid w:val="0055264D"/>
    <w:rsid w:val="005536F5"/>
    <w:rsid w:val="005668D5"/>
    <w:rsid w:val="005703BA"/>
    <w:rsid w:val="0058312F"/>
    <w:rsid w:val="00584F6D"/>
    <w:rsid w:val="00593366"/>
    <w:rsid w:val="005A1B48"/>
    <w:rsid w:val="005C45F6"/>
    <w:rsid w:val="005C4686"/>
    <w:rsid w:val="005C5D52"/>
    <w:rsid w:val="005C62A1"/>
    <w:rsid w:val="005D25DF"/>
    <w:rsid w:val="005F42CC"/>
    <w:rsid w:val="00601456"/>
    <w:rsid w:val="00603394"/>
    <w:rsid w:val="006119B3"/>
    <w:rsid w:val="00632911"/>
    <w:rsid w:val="006406F2"/>
    <w:rsid w:val="00654D33"/>
    <w:rsid w:val="00655BC5"/>
    <w:rsid w:val="00661192"/>
    <w:rsid w:val="006774C8"/>
    <w:rsid w:val="00693F3B"/>
    <w:rsid w:val="006A0EF7"/>
    <w:rsid w:val="006A0F85"/>
    <w:rsid w:val="006C1851"/>
    <w:rsid w:val="006C5FE8"/>
    <w:rsid w:val="006D1FBE"/>
    <w:rsid w:val="006E1C80"/>
    <w:rsid w:val="006E1FD3"/>
    <w:rsid w:val="006E6C9E"/>
    <w:rsid w:val="006F7BC4"/>
    <w:rsid w:val="00703143"/>
    <w:rsid w:val="00723CC3"/>
    <w:rsid w:val="00724A10"/>
    <w:rsid w:val="00743E72"/>
    <w:rsid w:val="00744595"/>
    <w:rsid w:val="0074699A"/>
    <w:rsid w:val="00752CE9"/>
    <w:rsid w:val="0077180D"/>
    <w:rsid w:val="00773E50"/>
    <w:rsid w:val="00777006"/>
    <w:rsid w:val="00781EEC"/>
    <w:rsid w:val="00783F67"/>
    <w:rsid w:val="007937C4"/>
    <w:rsid w:val="007B0252"/>
    <w:rsid w:val="007B3D78"/>
    <w:rsid w:val="007B5EF6"/>
    <w:rsid w:val="007B6D3F"/>
    <w:rsid w:val="007C0377"/>
    <w:rsid w:val="007C4902"/>
    <w:rsid w:val="007C4A77"/>
    <w:rsid w:val="007D49F6"/>
    <w:rsid w:val="007F0519"/>
    <w:rsid w:val="007F1605"/>
    <w:rsid w:val="007F5D77"/>
    <w:rsid w:val="007F7B33"/>
    <w:rsid w:val="00800803"/>
    <w:rsid w:val="008014F0"/>
    <w:rsid w:val="00813E99"/>
    <w:rsid w:val="00814F1D"/>
    <w:rsid w:val="00825F51"/>
    <w:rsid w:val="00826795"/>
    <w:rsid w:val="0083241A"/>
    <w:rsid w:val="008506CC"/>
    <w:rsid w:val="008629BF"/>
    <w:rsid w:val="0087373B"/>
    <w:rsid w:val="00875763"/>
    <w:rsid w:val="00884402"/>
    <w:rsid w:val="00884709"/>
    <w:rsid w:val="008913D9"/>
    <w:rsid w:val="0089245D"/>
    <w:rsid w:val="00897519"/>
    <w:rsid w:val="008A778F"/>
    <w:rsid w:val="008C49AB"/>
    <w:rsid w:val="008D0783"/>
    <w:rsid w:val="008D1FA1"/>
    <w:rsid w:val="008D7F19"/>
    <w:rsid w:val="008F5BB3"/>
    <w:rsid w:val="00900EAC"/>
    <w:rsid w:val="00915DD0"/>
    <w:rsid w:val="00930E55"/>
    <w:rsid w:val="00931887"/>
    <w:rsid w:val="00935C99"/>
    <w:rsid w:val="00941C47"/>
    <w:rsid w:val="0095041B"/>
    <w:rsid w:val="00951F1B"/>
    <w:rsid w:val="009529D0"/>
    <w:rsid w:val="009762BB"/>
    <w:rsid w:val="009861CF"/>
    <w:rsid w:val="00987C1D"/>
    <w:rsid w:val="00996331"/>
    <w:rsid w:val="009A09BE"/>
    <w:rsid w:val="009A2172"/>
    <w:rsid w:val="009A2D3A"/>
    <w:rsid w:val="009A66A8"/>
    <w:rsid w:val="009B7733"/>
    <w:rsid w:val="009C05DF"/>
    <w:rsid w:val="009C3319"/>
    <w:rsid w:val="009D3DC5"/>
    <w:rsid w:val="009D6915"/>
    <w:rsid w:val="009F48AB"/>
    <w:rsid w:val="00A01428"/>
    <w:rsid w:val="00A066B7"/>
    <w:rsid w:val="00A35974"/>
    <w:rsid w:val="00A46878"/>
    <w:rsid w:val="00A61841"/>
    <w:rsid w:val="00A61A63"/>
    <w:rsid w:val="00A65E69"/>
    <w:rsid w:val="00A71014"/>
    <w:rsid w:val="00A7715E"/>
    <w:rsid w:val="00A8256E"/>
    <w:rsid w:val="00AA66AF"/>
    <w:rsid w:val="00AA77EA"/>
    <w:rsid w:val="00AA7E45"/>
    <w:rsid w:val="00AA7E6E"/>
    <w:rsid w:val="00AB2CCA"/>
    <w:rsid w:val="00AB7519"/>
    <w:rsid w:val="00AC3029"/>
    <w:rsid w:val="00AC3637"/>
    <w:rsid w:val="00AD3DB7"/>
    <w:rsid w:val="00AE7D9D"/>
    <w:rsid w:val="00AF166A"/>
    <w:rsid w:val="00AF3FD8"/>
    <w:rsid w:val="00B0479F"/>
    <w:rsid w:val="00B22731"/>
    <w:rsid w:val="00B22E8B"/>
    <w:rsid w:val="00B51F5A"/>
    <w:rsid w:val="00B60374"/>
    <w:rsid w:val="00B63F8D"/>
    <w:rsid w:val="00B72F8A"/>
    <w:rsid w:val="00B74E38"/>
    <w:rsid w:val="00B801CB"/>
    <w:rsid w:val="00B80FE5"/>
    <w:rsid w:val="00B84825"/>
    <w:rsid w:val="00B93442"/>
    <w:rsid w:val="00B941F0"/>
    <w:rsid w:val="00BB04C6"/>
    <w:rsid w:val="00BB4402"/>
    <w:rsid w:val="00BC2677"/>
    <w:rsid w:val="00BC7945"/>
    <w:rsid w:val="00BE2062"/>
    <w:rsid w:val="00BE5AC8"/>
    <w:rsid w:val="00BE78BA"/>
    <w:rsid w:val="00BE7DCB"/>
    <w:rsid w:val="00BE7F35"/>
    <w:rsid w:val="00C001DA"/>
    <w:rsid w:val="00C06D62"/>
    <w:rsid w:val="00C17CF0"/>
    <w:rsid w:val="00C3117D"/>
    <w:rsid w:val="00C37CFC"/>
    <w:rsid w:val="00C4036F"/>
    <w:rsid w:val="00C41D85"/>
    <w:rsid w:val="00C436AF"/>
    <w:rsid w:val="00C56697"/>
    <w:rsid w:val="00C5775E"/>
    <w:rsid w:val="00C6712C"/>
    <w:rsid w:val="00C76DD2"/>
    <w:rsid w:val="00C92893"/>
    <w:rsid w:val="00CA64CF"/>
    <w:rsid w:val="00CC65A1"/>
    <w:rsid w:val="00CF5AE4"/>
    <w:rsid w:val="00CF68DE"/>
    <w:rsid w:val="00D06253"/>
    <w:rsid w:val="00D067A3"/>
    <w:rsid w:val="00D108EB"/>
    <w:rsid w:val="00D14BF7"/>
    <w:rsid w:val="00D20719"/>
    <w:rsid w:val="00D21FCB"/>
    <w:rsid w:val="00D2267D"/>
    <w:rsid w:val="00D31E5D"/>
    <w:rsid w:val="00D40BCA"/>
    <w:rsid w:val="00D61149"/>
    <w:rsid w:val="00D67463"/>
    <w:rsid w:val="00D71F50"/>
    <w:rsid w:val="00D82E99"/>
    <w:rsid w:val="00D87A72"/>
    <w:rsid w:val="00D91D4B"/>
    <w:rsid w:val="00DA13DB"/>
    <w:rsid w:val="00DA40D3"/>
    <w:rsid w:val="00DA733E"/>
    <w:rsid w:val="00DB4585"/>
    <w:rsid w:val="00DC0538"/>
    <w:rsid w:val="00DC72A5"/>
    <w:rsid w:val="00DD3342"/>
    <w:rsid w:val="00DD5953"/>
    <w:rsid w:val="00DD67E5"/>
    <w:rsid w:val="00DE1F62"/>
    <w:rsid w:val="00DF0D96"/>
    <w:rsid w:val="00DF1667"/>
    <w:rsid w:val="00DF2F67"/>
    <w:rsid w:val="00DF66D2"/>
    <w:rsid w:val="00E04910"/>
    <w:rsid w:val="00E07DE0"/>
    <w:rsid w:val="00E113B8"/>
    <w:rsid w:val="00E15E49"/>
    <w:rsid w:val="00E177CC"/>
    <w:rsid w:val="00E2066A"/>
    <w:rsid w:val="00E34FE6"/>
    <w:rsid w:val="00E368A5"/>
    <w:rsid w:val="00E4752F"/>
    <w:rsid w:val="00E525BC"/>
    <w:rsid w:val="00E525FE"/>
    <w:rsid w:val="00E64A54"/>
    <w:rsid w:val="00E67B1E"/>
    <w:rsid w:val="00E9086F"/>
    <w:rsid w:val="00EB1B07"/>
    <w:rsid w:val="00EB22A5"/>
    <w:rsid w:val="00EC3ADF"/>
    <w:rsid w:val="00ED27C2"/>
    <w:rsid w:val="00EE07F0"/>
    <w:rsid w:val="00EF1C41"/>
    <w:rsid w:val="00EF2877"/>
    <w:rsid w:val="00F04A35"/>
    <w:rsid w:val="00F21957"/>
    <w:rsid w:val="00F2722C"/>
    <w:rsid w:val="00F34A39"/>
    <w:rsid w:val="00F377F3"/>
    <w:rsid w:val="00F435FE"/>
    <w:rsid w:val="00F55296"/>
    <w:rsid w:val="00F63E88"/>
    <w:rsid w:val="00F67895"/>
    <w:rsid w:val="00F7741D"/>
    <w:rsid w:val="00F801E9"/>
    <w:rsid w:val="00F91A65"/>
    <w:rsid w:val="00F946C0"/>
    <w:rsid w:val="00FA3090"/>
    <w:rsid w:val="00FA443A"/>
    <w:rsid w:val="00FA47C7"/>
    <w:rsid w:val="00FA7852"/>
    <w:rsid w:val="00FB48CF"/>
    <w:rsid w:val="00FD02DF"/>
    <w:rsid w:val="00FD2B4C"/>
    <w:rsid w:val="00FD5DA0"/>
    <w:rsid w:val="00FD7936"/>
    <w:rsid w:val="00FE3092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C90E"/>
  <w15:chartTrackingRefBased/>
  <w15:docId w15:val="{8601ED90-145D-4040-BDA4-B01E3098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B3D7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C4C4A"/>
    <w:rPr>
      <w:color w:val="106BBE"/>
    </w:rPr>
  </w:style>
  <w:style w:type="paragraph" w:styleId="a4">
    <w:name w:val="No Spacing"/>
    <w:uiPriority w:val="1"/>
    <w:qFormat/>
    <w:rsid w:val="000C4C4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0C4C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0C4C4A"/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0C4C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7">
    <w:name w:val="Основной текст_"/>
    <w:link w:val="2"/>
    <w:rsid w:val="000C4C4A"/>
    <w:rPr>
      <w:spacing w:val="10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0C4C4A"/>
    <w:pPr>
      <w:widowControl w:val="0"/>
      <w:shd w:val="clear" w:color="auto" w:fill="FFFFFF"/>
      <w:spacing w:before="600" w:line="312" w:lineRule="exact"/>
      <w:ind w:hanging="560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ConsPlusNormal0">
    <w:name w:val="ConsPlusNormal Знак"/>
    <w:link w:val="ConsPlusNormal"/>
    <w:locked/>
    <w:rsid w:val="000C4C4A"/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nhideWhenUsed/>
    <w:rsid w:val="002056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2056CC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a">
    <w:name w:val="Прижатый влево"/>
    <w:basedOn w:val="a"/>
    <w:next w:val="a"/>
    <w:uiPriority w:val="99"/>
    <w:rsid w:val="00496C3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rsid w:val="007F7B33"/>
    <w:rPr>
      <w:color w:val="0000FF"/>
      <w:u w:val="single"/>
    </w:rPr>
  </w:style>
  <w:style w:type="character" w:customStyle="1" w:styleId="ac">
    <w:name w:val="Цветовое выделение"/>
    <w:uiPriority w:val="99"/>
    <w:rsid w:val="00A71014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A71014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ae">
    <w:name w:val="Комментарий"/>
    <w:basedOn w:val="a"/>
    <w:next w:val="a"/>
    <w:uiPriority w:val="99"/>
    <w:rsid w:val="00A7101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A71014"/>
    <w:rPr>
      <w:i/>
      <w:iCs/>
    </w:rPr>
  </w:style>
  <w:style w:type="table" w:styleId="af0">
    <w:name w:val="Table Grid"/>
    <w:basedOn w:val="a1"/>
    <w:uiPriority w:val="59"/>
    <w:rsid w:val="00D10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1C0D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7B3D78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720718.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1720718.0" TargetMode="External"/><Relationship Id="rId12" Type="http://schemas.openxmlformats.org/officeDocument/2006/relationships/hyperlink" Target="garantF1://70006658.111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006658.1112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71720718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1720718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7858</Words>
  <Characters>44797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Евченко Людмила Анатольевна</dc:creator>
  <cp:keywords/>
  <dc:description/>
  <cp:lastModifiedBy>Мещерякова Лилия Армаисовна</cp:lastModifiedBy>
  <cp:revision>10</cp:revision>
  <cp:lastPrinted>2022-06-07T12:38:00Z</cp:lastPrinted>
  <dcterms:created xsi:type="dcterms:W3CDTF">2022-06-02T06:47:00Z</dcterms:created>
  <dcterms:modified xsi:type="dcterms:W3CDTF">2022-06-07T12:38:00Z</dcterms:modified>
</cp:coreProperties>
</file>